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6A981" w14:textId="77777777" w:rsidR="00732EE9" w:rsidRPr="00420C8C" w:rsidRDefault="00732EE9" w:rsidP="00732EE9">
      <w:pPr>
        <w:spacing w:before="60" w:after="60" w:line="360" w:lineRule="auto"/>
        <w:rPr>
          <w:rFonts w:ascii="Arial" w:hAnsi="Arial" w:cs="Arial"/>
          <w:b/>
          <w:sz w:val="24"/>
          <w:szCs w:val="24"/>
        </w:rPr>
      </w:pPr>
      <w:bookmarkStart w:id="0" w:name="_GoBack"/>
      <w:bookmarkEnd w:id="0"/>
      <w:r w:rsidRPr="00420C8C">
        <w:rPr>
          <w:rFonts w:ascii="Arial" w:hAnsi="Arial" w:cs="Arial"/>
          <w:b/>
          <w:sz w:val="24"/>
          <w:szCs w:val="24"/>
        </w:rPr>
        <w:t>Opis zmian wprowadzonych w Programie Operacyjnym Wiedza Edukacja Rozwój 2014-2020</w:t>
      </w:r>
    </w:p>
    <w:p w14:paraId="2E7161E0" w14:textId="2DA3F929" w:rsidR="00732EE9" w:rsidRPr="00420C8C" w:rsidRDefault="00732EE9" w:rsidP="00732EE9">
      <w:pPr>
        <w:spacing w:before="60" w:after="60" w:line="360" w:lineRule="auto"/>
        <w:rPr>
          <w:rFonts w:ascii="Arial" w:hAnsi="Arial" w:cs="Arial"/>
          <w:sz w:val="24"/>
          <w:szCs w:val="24"/>
        </w:rPr>
      </w:pPr>
      <w:r w:rsidRPr="00420C8C">
        <w:rPr>
          <w:rFonts w:ascii="Arial" w:hAnsi="Arial" w:cs="Arial"/>
          <w:sz w:val="24"/>
          <w:szCs w:val="24"/>
        </w:rPr>
        <w:t>Zmiany wprowadzane w PO WER są powiązane z kryzysem spowodowanym konfliktem zbrojnym na terytorium Ukrainy i obejmują w szczególności wprowadzenie nowych bądź modyfikację istniejących operacji, dodanie do grup docelowych osób, którym udzielono ochrony czasowej w związku z wojną w Ukrainie, a także dostosowanie wartości wskaźników do zaistniałej sytuacji społeczno-gospodarczej.</w:t>
      </w:r>
    </w:p>
    <w:p w14:paraId="4EC4A810" w14:textId="77777777" w:rsidR="00732EE9" w:rsidRPr="00420C8C" w:rsidRDefault="00732EE9" w:rsidP="00732EE9">
      <w:pPr>
        <w:spacing w:before="60" w:after="60" w:line="360" w:lineRule="auto"/>
        <w:rPr>
          <w:rFonts w:ascii="Arial" w:hAnsi="Arial" w:cs="Arial"/>
          <w:sz w:val="24"/>
          <w:szCs w:val="24"/>
        </w:rPr>
      </w:pPr>
      <w:r w:rsidRPr="00420C8C">
        <w:rPr>
          <w:rFonts w:ascii="Arial" w:hAnsi="Arial" w:cs="Arial"/>
          <w:sz w:val="24"/>
          <w:szCs w:val="24"/>
        </w:rPr>
        <w:t>Najważniejsze proponowane zmiany w PO WER obejmują:</w:t>
      </w:r>
    </w:p>
    <w:p w14:paraId="697057E9" w14:textId="77777777" w:rsidR="00732EE9" w:rsidRPr="00420C8C" w:rsidRDefault="00732EE9" w:rsidP="00732EE9">
      <w:pPr>
        <w:shd w:val="clear" w:color="auto" w:fill="D9D9D9" w:themeFill="background1" w:themeFillShade="D9"/>
        <w:spacing w:before="60" w:after="60" w:line="360" w:lineRule="auto"/>
        <w:rPr>
          <w:rFonts w:ascii="Arial" w:hAnsi="Arial" w:cs="Arial"/>
          <w:b/>
          <w:sz w:val="24"/>
          <w:szCs w:val="24"/>
        </w:rPr>
      </w:pPr>
      <w:r w:rsidRPr="00420C8C">
        <w:rPr>
          <w:rFonts w:ascii="Arial" w:hAnsi="Arial" w:cs="Arial"/>
          <w:b/>
          <w:sz w:val="24"/>
          <w:szCs w:val="24"/>
        </w:rPr>
        <w:t>Sekcja 1.1 Wkład programu w realizację Strategii Europa 2020 oraz w</w:t>
      </w:r>
      <w:r>
        <w:rPr>
          <w:rFonts w:ascii="Arial" w:hAnsi="Arial" w:cs="Arial"/>
          <w:b/>
          <w:sz w:val="24"/>
          <w:szCs w:val="24"/>
        </w:rPr>
        <w:t> </w:t>
      </w:r>
      <w:r w:rsidRPr="00420C8C">
        <w:rPr>
          <w:rFonts w:ascii="Arial" w:hAnsi="Arial" w:cs="Arial"/>
          <w:b/>
          <w:sz w:val="24"/>
          <w:szCs w:val="24"/>
        </w:rPr>
        <w:t>osiągnięcie spójności gospodarczo-społecznej i terytorialnej</w:t>
      </w:r>
    </w:p>
    <w:p w14:paraId="15E96747" w14:textId="77777777" w:rsidR="00732EE9" w:rsidRPr="00420C8C" w:rsidRDefault="00732EE9" w:rsidP="00732EE9">
      <w:pPr>
        <w:pStyle w:val="Akapitzlist"/>
        <w:spacing w:before="60" w:after="60"/>
        <w:ind w:left="0"/>
        <w:contextualSpacing w:val="0"/>
        <w:jc w:val="left"/>
        <w:rPr>
          <w:rFonts w:eastAsia="Calibri" w:cs="Arial"/>
          <w:i/>
          <w:sz w:val="24"/>
          <w:lang w:eastAsia="en-US"/>
        </w:rPr>
      </w:pPr>
      <w:r w:rsidRPr="00420C8C">
        <w:rPr>
          <w:rFonts w:eastAsia="Calibri" w:cs="Arial"/>
          <w:iCs/>
          <w:sz w:val="24"/>
          <w:lang w:eastAsia="en-US"/>
        </w:rPr>
        <w:t xml:space="preserve">Opis spodziewanego wpływu programu operacyjnego na wspieranie kryzysowych działań naprawczych w kontekście pandemii COVID-19 i jej skutków społecznych uzupełniono o </w:t>
      </w:r>
      <w:r w:rsidRPr="00420C8C">
        <w:rPr>
          <w:rFonts w:cs="Arial"/>
          <w:sz w:val="24"/>
        </w:rPr>
        <w:t>działania w obszarze zdrowia związane z wystąpieniem skutków kryzysu wywołanego konfliktem zbrojnym na terytorium Ukrainy.</w:t>
      </w:r>
    </w:p>
    <w:p w14:paraId="362BDC45" w14:textId="77777777" w:rsidR="00732EE9" w:rsidRPr="00420C8C" w:rsidRDefault="00732EE9" w:rsidP="00732EE9">
      <w:pPr>
        <w:spacing w:before="60" w:after="60" w:line="360" w:lineRule="auto"/>
        <w:rPr>
          <w:rFonts w:ascii="Arial" w:hAnsi="Arial" w:cs="Arial"/>
          <w:iCs/>
          <w:sz w:val="24"/>
          <w:szCs w:val="24"/>
        </w:rPr>
      </w:pPr>
      <w:r w:rsidRPr="00420C8C">
        <w:rPr>
          <w:rFonts w:ascii="Arial" w:hAnsi="Arial" w:cs="Arial"/>
          <w:b/>
          <w:sz w:val="24"/>
          <w:szCs w:val="24"/>
        </w:rPr>
        <w:t xml:space="preserve">Uzasadnienie: </w:t>
      </w:r>
      <w:r w:rsidRPr="00420C8C">
        <w:rPr>
          <w:rFonts w:ascii="Arial" w:hAnsi="Arial" w:cs="Arial"/>
          <w:iCs/>
          <w:sz w:val="24"/>
          <w:szCs w:val="24"/>
        </w:rPr>
        <w:t>Zmiana ma na celu wprowadzenie działań na rzecz wzmocnienia systemu ochrony zdrowia oraz wsparcia osób przybywających do Polski w związku z</w:t>
      </w:r>
      <w:r>
        <w:rPr>
          <w:rFonts w:ascii="Arial" w:hAnsi="Arial" w:cs="Arial"/>
          <w:iCs/>
          <w:sz w:val="24"/>
          <w:szCs w:val="24"/>
        </w:rPr>
        <w:t> </w:t>
      </w:r>
      <w:r w:rsidRPr="00420C8C">
        <w:rPr>
          <w:rFonts w:ascii="Arial" w:hAnsi="Arial" w:cs="Arial"/>
          <w:iCs/>
          <w:sz w:val="24"/>
          <w:szCs w:val="24"/>
        </w:rPr>
        <w:t xml:space="preserve">wystąpieniem skutków kryzysu wywołanego konfliktem zbrojnym na terytorium Ukrainy. </w:t>
      </w:r>
    </w:p>
    <w:p w14:paraId="4BAE15DD" w14:textId="77777777" w:rsidR="00732EE9" w:rsidRPr="00420C8C" w:rsidRDefault="00732EE9" w:rsidP="00732EE9">
      <w:pPr>
        <w:shd w:val="clear" w:color="auto" w:fill="D9D9D9" w:themeFill="background1" w:themeFillShade="D9"/>
        <w:spacing w:before="60" w:after="60" w:line="360" w:lineRule="auto"/>
        <w:rPr>
          <w:rFonts w:ascii="Arial" w:hAnsi="Arial" w:cs="Arial"/>
          <w:b/>
          <w:bCs/>
          <w:iCs/>
          <w:sz w:val="24"/>
          <w:szCs w:val="24"/>
        </w:rPr>
      </w:pPr>
      <w:r w:rsidRPr="00420C8C">
        <w:rPr>
          <w:rFonts w:ascii="Arial" w:hAnsi="Arial" w:cs="Arial"/>
          <w:b/>
          <w:bCs/>
          <w:iCs/>
          <w:sz w:val="24"/>
          <w:szCs w:val="24"/>
        </w:rPr>
        <w:t>Uzasadnienie wyboru celów tematycznych i priorytetów inwestycyjnych</w:t>
      </w:r>
    </w:p>
    <w:p w14:paraId="70898E1B" w14:textId="77777777" w:rsidR="00732EE9" w:rsidRPr="00420C8C" w:rsidRDefault="00732EE9" w:rsidP="00732EE9">
      <w:pPr>
        <w:pStyle w:val="Akapitzlist"/>
        <w:spacing w:before="60" w:after="60"/>
        <w:ind w:left="0"/>
        <w:contextualSpacing w:val="0"/>
        <w:jc w:val="left"/>
        <w:rPr>
          <w:rFonts w:eastAsia="Calibri" w:cs="Arial"/>
          <w:i/>
          <w:sz w:val="24"/>
          <w:lang w:eastAsia="en-US"/>
        </w:rPr>
      </w:pPr>
      <w:r w:rsidRPr="00420C8C">
        <w:rPr>
          <w:rFonts w:cs="Arial"/>
          <w:sz w:val="24"/>
        </w:rPr>
        <w:t xml:space="preserve">Uzasadnienie wyboru celu tematycznego i jednocześnie priorytetu inwestycyjnego pn. </w:t>
      </w:r>
      <w:r w:rsidRPr="00420C8C">
        <w:rPr>
          <w:rFonts w:cs="Arial"/>
          <w:i/>
          <w:sz w:val="24"/>
        </w:rPr>
        <w:t>Wspieranie kryzysowych działań naprawczych w kontekście pandemii COVID-19 i jej skutków społecznych oraz przygotowanie do ekologicznej i cyfrowej odbudowy gospodarki zwiększającej jej odporność</w:t>
      </w:r>
      <w:r w:rsidRPr="00420C8C">
        <w:rPr>
          <w:rFonts w:cs="Arial"/>
          <w:sz w:val="24"/>
        </w:rPr>
        <w:t xml:space="preserve"> </w:t>
      </w:r>
      <w:r w:rsidRPr="00420C8C">
        <w:rPr>
          <w:rFonts w:eastAsia="Calibri" w:cs="Arial"/>
          <w:iCs/>
          <w:sz w:val="24"/>
          <w:lang w:eastAsia="en-US"/>
        </w:rPr>
        <w:t xml:space="preserve">uzupełniono o </w:t>
      </w:r>
      <w:r w:rsidRPr="00420C8C">
        <w:rPr>
          <w:rFonts w:cs="Arial"/>
          <w:sz w:val="24"/>
        </w:rPr>
        <w:t>działania związane z</w:t>
      </w:r>
      <w:r>
        <w:rPr>
          <w:rFonts w:cs="Arial"/>
          <w:sz w:val="24"/>
        </w:rPr>
        <w:t> </w:t>
      </w:r>
      <w:r w:rsidRPr="00420C8C">
        <w:rPr>
          <w:rFonts w:cs="Arial"/>
          <w:sz w:val="24"/>
        </w:rPr>
        <w:t>wystąpieniem skutków kryzysu wywołanego konfliktem zbrojnym na terytorium Ukrainy.</w:t>
      </w:r>
    </w:p>
    <w:p w14:paraId="681DA54E" w14:textId="77777777" w:rsidR="00732EE9" w:rsidRPr="00420C8C" w:rsidRDefault="00732EE9" w:rsidP="00732EE9">
      <w:pPr>
        <w:spacing w:before="60" w:after="60" w:line="360" w:lineRule="auto"/>
        <w:rPr>
          <w:rFonts w:ascii="Arial" w:hAnsi="Arial" w:cs="Arial"/>
          <w:sz w:val="24"/>
          <w:szCs w:val="24"/>
        </w:rPr>
      </w:pPr>
      <w:r w:rsidRPr="00420C8C">
        <w:rPr>
          <w:rFonts w:ascii="Arial" w:hAnsi="Arial" w:cs="Arial"/>
          <w:b/>
          <w:sz w:val="24"/>
          <w:szCs w:val="24"/>
        </w:rPr>
        <w:t xml:space="preserve">Uzasadnienie: </w:t>
      </w:r>
      <w:r w:rsidRPr="00420C8C">
        <w:rPr>
          <w:rFonts w:ascii="Arial" w:hAnsi="Arial" w:cs="Arial"/>
          <w:sz w:val="24"/>
          <w:szCs w:val="24"/>
        </w:rPr>
        <w:t xml:space="preserve">Zmiana ma na celu uzupełnienie uzasadnienia wyboru celu tematycznego i priorytetu inwestycyjnego dotyczącego REACT-EU. </w:t>
      </w:r>
    </w:p>
    <w:p w14:paraId="545B9925" w14:textId="77777777" w:rsidR="00732EE9" w:rsidRPr="00420C8C" w:rsidRDefault="00732EE9" w:rsidP="00732EE9">
      <w:pPr>
        <w:shd w:val="clear" w:color="auto" w:fill="D9D9D9" w:themeFill="background1" w:themeFillShade="D9"/>
        <w:spacing w:before="60" w:after="60" w:line="360" w:lineRule="auto"/>
        <w:rPr>
          <w:rFonts w:ascii="Arial" w:hAnsi="Arial" w:cs="Arial"/>
          <w:b/>
          <w:bCs/>
          <w:iCs/>
          <w:sz w:val="24"/>
          <w:szCs w:val="24"/>
        </w:rPr>
      </w:pPr>
      <w:r w:rsidRPr="00420C8C">
        <w:rPr>
          <w:rFonts w:ascii="Arial" w:hAnsi="Arial" w:cs="Arial"/>
          <w:b/>
          <w:bCs/>
          <w:iCs/>
          <w:sz w:val="24"/>
          <w:szCs w:val="24"/>
        </w:rPr>
        <w:t>Oś Priorytetowa I</w:t>
      </w:r>
    </w:p>
    <w:p w14:paraId="590F0B4A" w14:textId="77777777" w:rsidR="00732EE9" w:rsidRPr="00420C8C" w:rsidRDefault="00732EE9" w:rsidP="00732EE9">
      <w:pPr>
        <w:spacing w:before="60" w:after="60" w:line="360" w:lineRule="auto"/>
        <w:rPr>
          <w:rFonts w:ascii="Arial" w:hAnsi="Arial" w:cs="Arial"/>
          <w:b/>
          <w:bCs/>
          <w:iCs/>
          <w:sz w:val="24"/>
          <w:szCs w:val="24"/>
          <w:u w:val="single"/>
        </w:rPr>
      </w:pPr>
      <w:r w:rsidRPr="00420C8C">
        <w:rPr>
          <w:rFonts w:ascii="Arial" w:hAnsi="Arial" w:cs="Arial"/>
          <w:b/>
          <w:bCs/>
          <w:iCs/>
          <w:sz w:val="24"/>
          <w:szCs w:val="24"/>
          <w:u w:val="single"/>
        </w:rPr>
        <w:t>Priorytet inwestycyjny 8ii</w:t>
      </w:r>
    </w:p>
    <w:p w14:paraId="3130F079" w14:textId="77777777" w:rsidR="00732EE9" w:rsidRPr="00420C8C" w:rsidRDefault="00732EE9" w:rsidP="00732EE9">
      <w:pPr>
        <w:spacing w:before="60" w:after="60" w:line="360" w:lineRule="auto"/>
        <w:rPr>
          <w:rFonts w:ascii="Arial" w:hAnsi="Arial" w:cs="Arial"/>
          <w:sz w:val="24"/>
          <w:szCs w:val="24"/>
        </w:rPr>
      </w:pPr>
      <w:r w:rsidRPr="00420C8C">
        <w:rPr>
          <w:rFonts w:ascii="Arial" w:hAnsi="Arial" w:cs="Arial"/>
          <w:iCs/>
          <w:sz w:val="24"/>
          <w:szCs w:val="24"/>
        </w:rPr>
        <w:t xml:space="preserve">W grupie docelowej projektów realizowanych w osi I uwzględniono osoby, którym udzielono ochrony czasowej w związku z wojną w Ukrainie, co znalazło również </w:t>
      </w:r>
      <w:r w:rsidRPr="00420C8C">
        <w:rPr>
          <w:rFonts w:ascii="Arial" w:hAnsi="Arial" w:cs="Arial"/>
          <w:iCs/>
          <w:sz w:val="24"/>
          <w:szCs w:val="24"/>
        </w:rPr>
        <w:lastRenderedPageBreak/>
        <w:t>odzwierciedlenie we wskaźnikach produktu. Ta grupa docelowa może uczestniczyć zarówno w projektach konkursowych realizowanych przez różne podmioty, w</w:t>
      </w:r>
      <w:r>
        <w:rPr>
          <w:rFonts w:ascii="Arial" w:hAnsi="Arial" w:cs="Arial"/>
          <w:iCs/>
          <w:sz w:val="24"/>
          <w:szCs w:val="24"/>
        </w:rPr>
        <w:t> </w:t>
      </w:r>
      <w:r w:rsidRPr="00420C8C">
        <w:rPr>
          <w:rFonts w:ascii="Arial" w:hAnsi="Arial" w:cs="Arial"/>
          <w:iCs/>
          <w:sz w:val="24"/>
          <w:szCs w:val="24"/>
        </w:rPr>
        <w:t>szczególności instytucje rynku pracy, jak również w projektach powiatowych urzędów pracy i OHP.</w:t>
      </w:r>
    </w:p>
    <w:p w14:paraId="3D861C96" w14:textId="77777777" w:rsidR="00732EE9" w:rsidRPr="00420C8C" w:rsidRDefault="00732EE9" w:rsidP="00732EE9">
      <w:pPr>
        <w:shd w:val="clear" w:color="auto" w:fill="D9D9D9" w:themeFill="background1" w:themeFillShade="D9"/>
        <w:spacing w:before="60" w:after="60" w:line="360" w:lineRule="auto"/>
        <w:rPr>
          <w:rFonts w:ascii="Arial" w:hAnsi="Arial" w:cs="Arial"/>
          <w:b/>
          <w:bCs/>
          <w:iCs/>
          <w:sz w:val="24"/>
          <w:szCs w:val="24"/>
        </w:rPr>
      </w:pPr>
      <w:r w:rsidRPr="00420C8C">
        <w:rPr>
          <w:rFonts w:ascii="Arial" w:hAnsi="Arial" w:cs="Arial"/>
          <w:b/>
          <w:bCs/>
          <w:iCs/>
          <w:sz w:val="24"/>
          <w:szCs w:val="24"/>
        </w:rPr>
        <w:t xml:space="preserve">Oś Priorytetowa II </w:t>
      </w:r>
    </w:p>
    <w:p w14:paraId="5D037D08" w14:textId="77777777" w:rsidR="00732EE9" w:rsidRPr="00420C8C" w:rsidRDefault="00732EE9" w:rsidP="00732EE9">
      <w:pPr>
        <w:spacing w:before="60" w:after="60" w:line="360" w:lineRule="auto"/>
        <w:rPr>
          <w:rFonts w:ascii="Arial" w:hAnsi="Arial" w:cs="Arial"/>
          <w:b/>
          <w:bCs/>
          <w:iCs/>
          <w:sz w:val="24"/>
          <w:szCs w:val="24"/>
          <w:u w:val="single"/>
        </w:rPr>
      </w:pPr>
      <w:r w:rsidRPr="00420C8C">
        <w:rPr>
          <w:rFonts w:ascii="Arial" w:hAnsi="Arial" w:cs="Arial"/>
          <w:b/>
          <w:bCs/>
          <w:iCs/>
          <w:sz w:val="24"/>
          <w:szCs w:val="24"/>
          <w:u w:val="single"/>
        </w:rPr>
        <w:t>Priorytet inwestycyjny 8iv</w:t>
      </w:r>
    </w:p>
    <w:p w14:paraId="69E0943D" w14:textId="77777777" w:rsidR="00732EE9" w:rsidRPr="00420C8C" w:rsidRDefault="00732EE9" w:rsidP="00732EE9">
      <w:pPr>
        <w:spacing w:before="60" w:after="60" w:line="360" w:lineRule="auto"/>
        <w:rPr>
          <w:rFonts w:ascii="Arial" w:hAnsi="Arial" w:cs="Arial"/>
          <w:b/>
          <w:bCs/>
          <w:iCs/>
          <w:sz w:val="24"/>
          <w:szCs w:val="24"/>
        </w:rPr>
      </w:pPr>
      <w:r w:rsidRPr="00420C8C">
        <w:rPr>
          <w:rFonts w:ascii="Arial" w:hAnsi="Arial" w:cs="Arial"/>
          <w:iCs/>
          <w:sz w:val="24"/>
          <w:szCs w:val="24"/>
        </w:rPr>
        <w:t>Zmieniono jednostkę pomiaru wskaźnika rezultatu „odsetek Wojewódzkich Pełnomocników ds. Równego Traktowania, którzy nabyli wiedzę na temat równości szans płci” z „osoby” na „procent”. Zmiana wynika z sugestii Komisji Europejskiej dotyczącej poprawności wykazywania danych w sprawozdaniu rocznym z realizacji PO WER. Wskaźnik jest monitorowany jako współczynnik.</w:t>
      </w:r>
    </w:p>
    <w:p w14:paraId="67A3DD6C" w14:textId="77777777" w:rsidR="00732EE9" w:rsidRPr="00420C8C" w:rsidRDefault="00732EE9" w:rsidP="00732EE9">
      <w:pPr>
        <w:spacing w:before="60" w:after="60" w:line="360" w:lineRule="auto"/>
        <w:rPr>
          <w:rFonts w:ascii="Arial" w:hAnsi="Arial" w:cs="Arial"/>
          <w:b/>
          <w:bCs/>
          <w:iCs/>
          <w:sz w:val="24"/>
          <w:szCs w:val="24"/>
          <w:u w:val="single"/>
        </w:rPr>
      </w:pPr>
      <w:r w:rsidRPr="00420C8C">
        <w:rPr>
          <w:rFonts w:ascii="Arial" w:hAnsi="Arial" w:cs="Arial"/>
          <w:b/>
          <w:bCs/>
          <w:iCs/>
          <w:sz w:val="24"/>
          <w:szCs w:val="24"/>
          <w:u w:val="single"/>
        </w:rPr>
        <w:t>Priorytet inwestycyjny 8v</w:t>
      </w:r>
    </w:p>
    <w:p w14:paraId="14725C57" w14:textId="77777777" w:rsidR="00732EE9" w:rsidRPr="00420C8C" w:rsidRDefault="00732EE9" w:rsidP="00732EE9">
      <w:pPr>
        <w:pStyle w:val="Akapitzlist"/>
        <w:numPr>
          <w:ilvl w:val="0"/>
          <w:numId w:val="21"/>
        </w:numPr>
        <w:spacing w:before="60" w:after="60"/>
        <w:ind w:left="360"/>
        <w:contextualSpacing w:val="0"/>
        <w:jc w:val="left"/>
        <w:rPr>
          <w:rFonts w:cs="Arial"/>
          <w:iCs/>
          <w:sz w:val="24"/>
        </w:rPr>
      </w:pPr>
      <w:r w:rsidRPr="00420C8C">
        <w:rPr>
          <w:rFonts w:cs="Arial"/>
          <w:iCs/>
          <w:sz w:val="24"/>
        </w:rPr>
        <w:t>W związku ze zgodą KE na wsparcie osób objętych ochroną czasową zatrudnianych przez duże przedsiębiorstwa, w części dotyczącej opisu przedsięwzięć w celu 4 w zakresie interwencji wynikającej z rekomendacji sektorowych rad ds. kompetencji doprecyzowano, iż limit 25% uczestników dużych przedsiębiorstw nie dotyczy osób,  którym udzielono ochrony czasowej w związku z wojną w Ukrainie</w:t>
      </w:r>
      <w:r w:rsidRPr="00420C8C" w:rsidDel="0035559B">
        <w:rPr>
          <w:rFonts w:cs="Arial"/>
          <w:iCs/>
          <w:sz w:val="24"/>
        </w:rPr>
        <w:t xml:space="preserve"> </w:t>
      </w:r>
    </w:p>
    <w:p w14:paraId="024D42DC" w14:textId="77777777" w:rsidR="00732EE9" w:rsidRPr="00420C8C" w:rsidRDefault="00732EE9" w:rsidP="00732EE9">
      <w:pPr>
        <w:spacing w:before="60" w:after="60" w:line="360" w:lineRule="auto"/>
        <w:ind w:left="349"/>
        <w:rPr>
          <w:rFonts w:ascii="Arial" w:hAnsi="Arial" w:cs="Arial"/>
          <w:iCs/>
          <w:sz w:val="24"/>
          <w:szCs w:val="24"/>
        </w:rPr>
      </w:pPr>
      <w:r w:rsidRPr="00420C8C">
        <w:rPr>
          <w:rFonts w:ascii="Arial" w:hAnsi="Arial" w:cs="Arial"/>
          <w:iCs/>
          <w:sz w:val="24"/>
          <w:szCs w:val="24"/>
        </w:rPr>
        <w:t>Analogiczne zapisy wprowadzono w przypisach w tabelach dotyczących wskaźników produktu i rezultatu.</w:t>
      </w:r>
    </w:p>
    <w:p w14:paraId="690AAFCF" w14:textId="77777777" w:rsidR="00732EE9" w:rsidRPr="00420C8C" w:rsidRDefault="00732EE9" w:rsidP="00732EE9">
      <w:pPr>
        <w:spacing w:before="60" w:after="60" w:line="360" w:lineRule="auto"/>
        <w:ind w:left="349"/>
        <w:rPr>
          <w:rFonts w:ascii="Arial" w:hAnsi="Arial" w:cs="Arial"/>
          <w:iCs/>
          <w:sz w:val="24"/>
          <w:szCs w:val="24"/>
        </w:rPr>
      </w:pPr>
      <w:r w:rsidRPr="00420C8C">
        <w:rPr>
          <w:rFonts w:ascii="Arial" w:hAnsi="Arial" w:cs="Arial"/>
          <w:b/>
          <w:bCs/>
          <w:iCs/>
          <w:sz w:val="24"/>
          <w:szCs w:val="24"/>
        </w:rPr>
        <w:t>Uzasadnienie</w:t>
      </w:r>
      <w:r w:rsidRPr="00420C8C">
        <w:rPr>
          <w:rFonts w:ascii="Arial" w:hAnsi="Arial" w:cs="Arial"/>
          <w:iCs/>
          <w:sz w:val="24"/>
          <w:szCs w:val="24"/>
        </w:rPr>
        <w:t>: Zmiana ma na celu osób z Ukrainy objętych ochroną czasową, bez względu na rozmiar przedsiębiorstw, które ich zatrudniają.</w:t>
      </w:r>
    </w:p>
    <w:p w14:paraId="03123E6D" w14:textId="134B1965" w:rsidR="00732EE9" w:rsidRPr="00420C8C" w:rsidRDefault="00732EE9" w:rsidP="00732EE9">
      <w:pPr>
        <w:spacing w:before="60" w:after="60" w:line="360" w:lineRule="auto"/>
        <w:rPr>
          <w:rFonts w:ascii="Arial" w:hAnsi="Arial" w:cs="Arial"/>
          <w:b/>
          <w:bCs/>
          <w:iCs/>
          <w:sz w:val="24"/>
          <w:szCs w:val="24"/>
          <w:u w:val="single"/>
        </w:rPr>
      </w:pPr>
      <w:r w:rsidRPr="00420C8C">
        <w:rPr>
          <w:rFonts w:ascii="Arial" w:hAnsi="Arial" w:cs="Arial"/>
          <w:b/>
          <w:bCs/>
          <w:iCs/>
          <w:sz w:val="24"/>
          <w:szCs w:val="24"/>
          <w:u w:val="single"/>
        </w:rPr>
        <w:t>Priorytet inwestycyjny 8vii</w:t>
      </w:r>
    </w:p>
    <w:p w14:paraId="6DF17EE3" w14:textId="77777777" w:rsidR="00732EE9" w:rsidRPr="00420C8C" w:rsidRDefault="00732EE9" w:rsidP="00732EE9">
      <w:pPr>
        <w:pStyle w:val="Akapitzlist"/>
        <w:numPr>
          <w:ilvl w:val="0"/>
          <w:numId w:val="21"/>
        </w:numPr>
        <w:spacing w:before="60" w:after="60"/>
        <w:ind w:left="360"/>
        <w:contextualSpacing w:val="0"/>
        <w:jc w:val="left"/>
        <w:rPr>
          <w:rFonts w:cs="Arial"/>
          <w:iCs/>
          <w:sz w:val="24"/>
        </w:rPr>
      </w:pPr>
      <w:r w:rsidRPr="00420C8C">
        <w:rPr>
          <w:rFonts w:cs="Arial"/>
          <w:iCs/>
          <w:sz w:val="24"/>
        </w:rPr>
        <w:t>Zmiana źródła pomiaru wskaźników rezultatu w ramach celu szczegółowego 1: Standaryzacja działań podejmowanych przez instytucje rynku pracy.</w:t>
      </w:r>
    </w:p>
    <w:p w14:paraId="649DB982" w14:textId="77777777" w:rsidR="00732EE9" w:rsidRPr="00420C8C" w:rsidRDefault="00732EE9" w:rsidP="00732EE9">
      <w:pPr>
        <w:pStyle w:val="Akapitzlist"/>
        <w:spacing w:before="60" w:after="60"/>
        <w:ind w:left="360"/>
        <w:contextualSpacing w:val="0"/>
        <w:jc w:val="left"/>
        <w:rPr>
          <w:rFonts w:cs="Arial"/>
          <w:iCs/>
          <w:sz w:val="24"/>
        </w:rPr>
      </w:pPr>
      <w:r w:rsidRPr="00420C8C">
        <w:rPr>
          <w:rFonts w:cs="Arial"/>
          <w:b/>
          <w:bCs/>
          <w:iCs/>
          <w:sz w:val="24"/>
        </w:rPr>
        <w:t xml:space="preserve">Uzasadnienie: </w:t>
      </w:r>
      <w:r w:rsidRPr="00420C8C">
        <w:rPr>
          <w:rFonts w:cs="Arial"/>
          <w:iCs/>
          <w:sz w:val="24"/>
        </w:rPr>
        <w:t>Wskaźniki są monitorowane na podstawie danych własnych beneficjenta, a nie badania ewaluacyjnego.</w:t>
      </w:r>
    </w:p>
    <w:p w14:paraId="11E2A87D" w14:textId="77777777" w:rsidR="00732EE9" w:rsidRPr="00420C8C" w:rsidRDefault="00732EE9" w:rsidP="00732EE9">
      <w:pPr>
        <w:pStyle w:val="Akapitzlist"/>
        <w:numPr>
          <w:ilvl w:val="0"/>
          <w:numId w:val="21"/>
        </w:numPr>
        <w:spacing w:before="60" w:after="60"/>
        <w:ind w:left="360"/>
        <w:contextualSpacing w:val="0"/>
        <w:jc w:val="left"/>
        <w:rPr>
          <w:rFonts w:cs="Arial"/>
          <w:iCs/>
          <w:sz w:val="24"/>
        </w:rPr>
      </w:pPr>
      <w:r w:rsidRPr="00420C8C">
        <w:rPr>
          <w:rFonts w:cs="Arial"/>
          <w:iCs/>
          <w:sz w:val="24"/>
        </w:rPr>
        <w:t>Poprawienie omyłki pisarskiej w wartości wskaźnika produktu: Liczba pracowników publicznych służb zatrudnienia objętych wsparciem w programie.</w:t>
      </w:r>
    </w:p>
    <w:p w14:paraId="3F668B57" w14:textId="77777777" w:rsidR="00732EE9" w:rsidRPr="00420C8C" w:rsidRDefault="00732EE9" w:rsidP="00732EE9">
      <w:pPr>
        <w:pStyle w:val="Akapitzlist"/>
        <w:spacing w:before="60" w:after="60"/>
        <w:ind w:left="360"/>
        <w:contextualSpacing w:val="0"/>
        <w:jc w:val="left"/>
        <w:rPr>
          <w:rFonts w:cs="Arial"/>
          <w:iCs/>
          <w:sz w:val="24"/>
        </w:rPr>
      </w:pPr>
      <w:r w:rsidRPr="00420C8C">
        <w:rPr>
          <w:rFonts w:cs="Arial"/>
          <w:b/>
          <w:bCs/>
          <w:iCs/>
          <w:sz w:val="24"/>
        </w:rPr>
        <w:t>Uzasadnienie:</w:t>
      </w:r>
      <w:r w:rsidRPr="00420C8C">
        <w:rPr>
          <w:rFonts w:cs="Arial"/>
          <w:iCs/>
          <w:sz w:val="24"/>
        </w:rPr>
        <w:t xml:space="preserve"> W SFC oraz w innych częściach programu jest wartość prawidłowa.</w:t>
      </w:r>
    </w:p>
    <w:p w14:paraId="5BFC70D4" w14:textId="77777777" w:rsidR="00732EE9" w:rsidRPr="00420C8C" w:rsidRDefault="00732EE9" w:rsidP="00732EE9">
      <w:pPr>
        <w:spacing w:before="60" w:after="60" w:line="360" w:lineRule="auto"/>
        <w:rPr>
          <w:rFonts w:ascii="Arial" w:hAnsi="Arial" w:cs="Arial"/>
          <w:b/>
          <w:bCs/>
          <w:iCs/>
          <w:sz w:val="24"/>
          <w:szCs w:val="24"/>
          <w:u w:val="single"/>
        </w:rPr>
      </w:pPr>
      <w:r w:rsidRPr="00420C8C">
        <w:rPr>
          <w:rFonts w:ascii="Arial" w:hAnsi="Arial" w:cs="Arial"/>
          <w:b/>
          <w:bCs/>
          <w:iCs/>
          <w:sz w:val="24"/>
          <w:szCs w:val="24"/>
          <w:u w:val="single"/>
        </w:rPr>
        <w:t>Priorytet inwestycyjny 9i</w:t>
      </w:r>
    </w:p>
    <w:p w14:paraId="7E816840" w14:textId="77777777" w:rsidR="00732EE9" w:rsidRPr="00420C8C" w:rsidRDefault="00732EE9" w:rsidP="00732EE9">
      <w:pPr>
        <w:pStyle w:val="Akapitzlist"/>
        <w:numPr>
          <w:ilvl w:val="0"/>
          <w:numId w:val="19"/>
        </w:numPr>
        <w:spacing w:before="60" w:after="60"/>
        <w:ind w:left="284"/>
        <w:contextualSpacing w:val="0"/>
        <w:jc w:val="left"/>
        <w:rPr>
          <w:rFonts w:cs="Arial"/>
          <w:iCs/>
          <w:sz w:val="24"/>
        </w:rPr>
      </w:pPr>
      <w:r w:rsidRPr="00420C8C">
        <w:rPr>
          <w:rFonts w:cs="Arial"/>
          <w:iCs/>
          <w:sz w:val="24"/>
        </w:rPr>
        <w:lastRenderedPageBreak/>
        <w:t xml:space="preserve">W związku z ograniczeniem liczby etapów badań z dwóch do jednego spowodowanym wystąpieniem pandemii COVID-19 skorygowano częstotliwość pomiaru wskaźnika rezultatu </w:t>
      </w:r>
      <w:r w:rsidRPr="00420C8C">
        <w:rPr>
          <w:rFonts w:cs="Arial"/>
          <w:i/>
          <w:sz w:val="24"/>
        </w:rPr>
        <w:t>liczba jednostek samorządu terytorialnego, które wykorzystały stworzone narzędzie do poprawy jakości strategii rozwiązywania problemów społecznych</w:t>
      </w:r>
      <w:r w:rsidRPr="00420C8C">
        <w:rPr>
          <w:rFonts w:cs="Arial"/>
          <w:iCs/>
          <w:sz w:val="24"/>
        </w:rPr>
        <w:t xml:space="preserve"> z dwóch do jednego razu.</w:t>
      </w:r>
    </w:p>
    <w:p w14:paraId="45896D64" w14:textId="77777777" w:rsidR="00732EE9" w:rsidRPr="00420C8C" w:rsidRDefault="00732EE9" w:rsidP="00732EE9">
      <w:pPr>
        <w:pStyle w:val="Akapitzlist"/>
        <w:numPr>
          <w:ilvl w:val="0"/>
          <w:numId w:val="19"/>
        </w:numPr>
        <w:spacing w:before="60" w:after="60"/>
        <w:ind w:left="284"/>
        <w:contextualSpacing w:val="0"/>
        <w:jc w:val="left"/>
        <w:rPr>
          <w:rFonts w:cs="Arial"/>
          <w:iCs/>
          <w:sz w:val="24"/>
        </w:rPr>
      </w:pPr>
      <w:r w:rsidRPr="00420C8C">
        <w:rPr>
          <w:rFonts w:cs="Arial"/>
          <w:iCs/>
          <w:sz w:val="24"/>
        </w:rPr>
        <w:t xml:space="preserve">Zmniejszenie wartości docelowej wskaźnika rezultatu </w:t>
      </w:r>
      <w:r w:rsidRPr="00420C8C">
        <w:rPr>
          <w:rFonts w:cs="Arial"/>
          <w:i/>
          <w:sz w:val="24"/>
        </w:rPr>
        <w:t>liczba jednostek samorządu terytorialnego, które wykorzystały stworzone narzędzie do poprawy jakości strategii rozwiązywania problemów społecznych</w:t>
      </w:r>
      <w:r w:rsidRPr="00420C8C">
        <w:rPr>
          <w:rFonts w:cs="Arial"/>
          <w:iCs/>
          <w:sz w:val="24"/>
        </w:rPr>
        <w:t xml:space="preserve"> spowodowane jest faktem, że ze względu na pandemię i jej skutki oraz wojnę w Ukrainie, JST włączane są do sztabów kryzysowych, co prowadzi do konieczności realizacji przez nie dodatkowych zleceń z poziomu służb gmin/powiatów/wojewodów, uniemożliwiając tym samym uczestnictwo w</w:t>
      </w:r>
      <w:r>
        <w:rPr>
          <w:rFonts w:cs="Arial"/>
          <w:iCs/>
          <w:sz w:val="24"/>
        </w:rPr>
        <w:t> </w:t>
      </w:r>
      <w:r w:rsidRPr="00420C8C">
        <w:rPr>
          <w:rFonts w:cs="Arial"/>
          <w:iCs/>
          <w:sz w:val="24"/>
        </w:rPr>
        <w:t>projekcie realizującym ten wskaźnik.</w:t>
      </w:r>
    </w:p>
    <w:p w14:paraId="44365ED5" w14:textId="77777777" w:rsidR="00732EE9" w:rsidRPr="00420C8C" w:rsidRDefault="00732EE9" w:rsidP="00732EE9">
      <w:pPr>
        <w:pStyle w:val="Akapitzlist"/>
        <w:numPr>
          <w:ilvl w:val="0"/>
          <w:numId w:val="19"/>
        </w:numPr>
        <w:spacing w:before="60" w:after="60"/>
        <w:ind w:left="284"/>
        <w:contextualSpacing w:val="0"/>
        <w:jc w:val="left"/>
        <w:rPr>
          <w:rFonts w:cs="Arial"/>
          <w:iCs/>
          <w:sz w:val="24"/>
        </w:rPr>
      </w:pPr>
      <w:r w:rsidRPr="00420C8C">
        <w:rPr>
          <w:rFonts w:cs="Arial"/>
          <w:iCs/>
          <w:sz w:val="24"/>
        </w:rPr>
        <w:t xml:space="preserve">Zmniejszenie wartości docelowej wskaźnika produktu </w:t>
      </w:r>
      <w:r w:rsidRPr="00420C8C">
        <w:rPr>
          <w:rFonts w:cs="Arial"/>
          <w:i/>
          <w:sz w:val="24"/>
        </w:rPr>
        <w:t xml:space="preserve">liczba pracowników jednostek samorządu terytorialnego objętych wsparciem szkoleniowo-doradczym </w:t>
      </w:r>
      <w:r w:rsidRPr="00420C8C">
        <w:rPr>
          <w:rFonts w:cs="Arial"/>
          <w:iCs/>
          <w:sz w:val="24"/>
        </w:rPr>
        <w:t>wynika z faktu, że mimo prowadzonych w projekcie intensywnych działań rekrutacyjnych i szkoleniowych, a także wydłużenia trwania projektu, wskutek pandemii i wojny w Ukrainie, spadła gotowość przedstawicieli JST do udziału w szkoleniach. W związku z licznymi nowymi obowiązkami kierownictwo JST nie jest chętne do delegowania pracowników na szkolenia. Dodatkowo, w urzędach występują braki kadrowe spowodowane sytuacją związaną z COVID-19.</w:t>
      </w:r>
    </w:p>
    <w:p w14:paraId="74E0F27C" w14:textId="77777777" w:rsidR="00732EE9" w:rsidRPr="00420C8C" w:rsidRDefault="00732EE9" w:rsidP="00732EE9">
      <w:pPr>
        <w:pStyle w:val="Akapitzlist"/>
        <w:numPr>
          <w:ilvl w:val="0"/>
          <w:numId w:val="19"/>
        </w:numPr>
        <w:spacing w:before="60" w:after="60"/>
        <w:ind w:left="284"/>
        <w:contextualSpacing w:val="0"/>
        <w:jc w:val="left"/>
        <w:rPr>
          <w:rFonts w:cs="Arial"/>
          <w:i/>
          <w:sz w:val="24"/>
        </w:rPr>
      </w:pPr>
      <w:r w:rsidRPr="00420C8C">
        <w:rPr>
          <w:rFonts w:cs="Arial"/>
          <w:iCs/>
          <w:sz w:val="24"/>
        </w:rPr>
        <w:t xml:space="preserve">Dodanie wskaźnika </w:t>
      </w:r>
      <w:r w:rsidRPr="00420C8C">
        <w:rPr>
          <w:rFonts w:cs="Arial"/>
          <w:i/>
          <w:sz w:val="24"/>
        </w:rPr>
        <w:t>liczba osób, którym udzielono ochrony czasowej w</w:t>
      </w:r>
      <w:r>
        <w:rPr>
          <w:rFonts w:cs="Arial"/>
          <w:i/>
          <w:sz w:val="24"/>
        </w:rPr>
        <w:t> </w:t>
      </w:r>
      <w:r w:rsidRPr="00420C8C">
        <w:rPr>
          <w:rFonts w:cs="Arial"/>
          <w:i/>
          <w:sz w:val="24"/>
        </w:rPr>
        <w:t>związku z wojną w Ukrainie, objętych wsparciem w programie</w:t>
      </w:r>
      <w:r w:rsidRPr="00420C8C">
        <w:rPr>
          <w:rFonts w:cs="Arial"/>
          <w:iCs/>
          <w:sz w:val="24"/>
        </w:rPr>
        <w:t xml:space="preserve"> umożliwiającego monitorowanie wsparcia na rzecz osób przybyłych do Polski z Ukrainy ze względu na toczące się tam działania wojenne. Osoby te zostały również uwzględnione w opisie grup docelowych.</w:t>
      </w:r>
    </w:p>
    <w:p w14:paraId="156AD750" w14:textId="77777777" w:rsidR="00732EE9" w:rsidRPr="00420C8C" w:rsidRDefault="00732EE9" w:rsidP="00732EE9">
      <w:pPr>
        <w:spacing w:before="60" w:after="60" w:line="360" w:lineRule="auto"/>
        <w:rPr>
          <w:rFonts w:ascii="Arial" w:hAnsi="Arial" w:cs="Arial"/>
          <w:b/>
          <w:bCs/>
          <w:iCs/>
          <w:sz w:val="24"/>
          <w:szCs w:val="24"/>
          <w:u w:val="single"/>
        </w:rPr>
      </w:pPr>
      <w:r w:rsidRPr="00420C8C">
        <w:rPr>
          <w:rFonts w:ascii="Arial" w:hAnsi="Arial" w:cs="Arial"/>
          <w:b/>
          <w:bCs/>
          <w:iCs/>
          <w:sz w:val="24"/>
          <w:szCs w:val="24"/>
          <w:u w:val="single"/>
        </w:rPr>
        <w:t>Priorytet inwestycyjny 10i:</w:t>
      </w:r>
    </w:p>
    <w:p w14:paraId="3ED2C3F9" w14:textId="77777777" w:rsidR="00732EE9" w:rsidRPr="00420C8C" w:rsidRDefault="00732EE9" w:rsidP="00732EE9">
      <w:pPr>
        <w:pStyle w:val="Akapitzlist"/>
        <w:numPr>
          <w:ilvl w:val="0"/>
          <w:numId w:val="20"/>
        </w:numPr>
        <w:spacing w:before="60" w:after="60"/>
        <w:ind w:left="360"/>
        <w:contextualSpacing w:val="0"/>
        <w:jc w:val="left"/>
        <w:rPr>
          <w:rFonts w:cs="Arial"/>
          <w:bCs/>
          <w:iCs/>
          <w:sz w:val="24"/>
        </w:rPr>
      </w:pPr>
      <w:r w:rsidRPr="00420C8C">
        <w:rPr>
          <w:rFonts w:cs="Arial"/>
          <w:bCs/>
          <w:iCs/>
          <w:sz w:val="24"/>
        </w:rPr>
        <w:t xml:space="preserve">Dodanie nowego celu, tj. </w:t>
      </w:r>
      <w:r w:rsidRPr="00420C8C">
        <w:rPr>
          <w:rFonts w:cs="Arial"/>
          <w:bCs/>
          <w:i/>
          <w:sz w:val="24"/>
        </w:rPr>
        <w:t>Zwiększenie dostępu do polskiego systemu edukacyjnego dla obywateli Ukrainy</w:t>
      </w:r>
      <w:r w:rsidRPr="00420C8C">
        <w:rPr>
          <w:rFonts w:cs="Arial"/>
          <w:bCs/>
          <w:iCs/>
          <w:sz w:val="24"/>
        </w:rPr>
        <w:t xml:space="preserve">, a w jego ramach nowego typu operacji dotyczącego </w:t>
      </w:r>
      <w:r w:rsidRPr="00420C8C">
        <w:rPr>
          <w:rFonts w:cs="Arial"/>
          <w:bCs/>
          <w:i/>
          <w:sz w:val="24"/>
        </w:rPr>
        <w:t>przygotowania, organizacji i przeprowadzenia egzaminu ósmoklasisty i egzaminu maturalnego dla obywateli Ukrainy przebywających na terenie Polski</w:t>
      </w:r>
      <w:r w:rsidRPr="00420C8C">
        <w:rPr>
          <w:rFonts w:cs="Arial"/>
          <w:bCs/>
          <w:iCs/>
          <w:sz w:val="24"/>
        </w:rPr>
        <w:t xml:space="preserve">. W powiązaniu z tą zmianą, dodano </w:t>
      </w:r>
      <w:r w:rsidRPr="00420C8C">
        <w:rPr>
          <w:rFonts w:cs="Arial"/>
          <w:bCs/>
          <w:i/>
          <w:sz w:val="24"/>
        </w:rPr>
        <w:t>Centralną Komisję Egzaminacyjną</w:t>
      </w:r>
      <w:r w:rsidRPr="00420C8C">
        <w:rPr>
          <w:rFonts w:cs="Arial"/>
          <w:bCs/>
          <w:iCs/>
          <w:sz w:val="24"/>
        </w:rPr>
        <w:t xml:space="preserve"> do głównych beneficjentów oraz wskaźnik produktu </w:t>
      </w:r>
      <w:r w:rsidRPr="00420C8C">
        <w:rPr>
          <w:rFonts w:cs="Arial"/>
          <w:bCs/>
          <w:iCs/>
          <w:sz w:val="24"/>
        </w:rPr>
        <w:lastRenderedPageBreak/>
        <w:t xml:space="preserve">przedstawiający </w:t>
      </w:r>
      <w:r w:rsidRPr="00420C8C">
        <w:rPr>
          <w:rFonts w:cs="Arial"/>
          <w:bCs/>
          <w:i/>
          <w:sz w:val="24"/>
        </w:rPr>
        <w:t>wartość wydatków kwalifikowalnych przeznaczonych na działania mające na celu łagodzenie kryzysu wywołanego wojną w Ukrainie</w:t>
      </w:r>
      <w:r w:rsidRPr="00420C8C">
        <w:rPr>
          <w:rFonts w:cs="Arial"/>
          <w:bCs/>
          <w:iCs/>
          <w:sz w:val="24"/>
        </w:rPr>
        <w:t>.</w:t>
      </w:r>
    </w:p>
    <w:p w14:paraId="36B4EBDE" w14:textId="77777777" w:rsidR="00732EE9" w:rsidRPr="00420C8C" w:rsidRDefault="00732EE9" w:rsidP="00732EE9">
      <w:pPr>
        <w:pStyle w:val="Akapitzlist"/>
        <w:spacing w:before="60" w:after="60"/>
        <w:ind w:left="360"/>
        <w:contextualSpacing w:val="0"/>
        <w:jc w:val="left"/>
        <w:rPr>
          <w:rFonts w:cs="Arial"/>
          <w:bCs/>
          <w:iCs/>
          <w:sz w:val="24"/>
        </w:rPr>
      </w:pPr>
      <w:r w:rsidRPr="00420C8C">
        <w:rPr>
          <w:rFonts w:cs="Arial"/>
          <w:b/>
          <w:iCs/>
          <w:sz w:val="24"/>
        </w:rPr>
        <w:t>Uzasadnienie:</w:t>
      </w:r>
      <w:r w:rsidRPr="00420C8C">
        <w:rPr>
          <w:rFonts w:cs="Arial"/>
          <w:bCs/>
          <w:iCs/>
          <w:sz w:val="24"/>
        </w:rPr>
        <w:t xml:space="preserve"> W wyniku konfliktu zbrojnego na Ukrainie do Polski przybyło wielu obywateli Ukrainy, którzy uczą się w szkołach podstawowych oraz ponadpodstawowych w ramach systemu oświaty. W celu integracji uczniów – obywateli Ukrainy konieczne jest przygotowanie arkuszy egzaminacyjnych w</w:t>
      </w:r>
      <w:r>
        <w:rPr>
          <w:rFonts w:cs="Arial"/>
          <w:bCs/>
          <w:iCs/>
          <w:sz w:val="24"/>
        </w:rPr>
        <w:t> </w:t>
      </w:r>
      <w:r w:rsidRPr="00420C8C">
        <w:rPr>
          <w:rFonts w:cs="Arial"/>
          <w:bCs/>
          <w:iCs/>
          <w:sz w:val="24"/>
        </w:rPr>
        <w:t>formie dostosowanej do ich potrzeb. Dlatego zdecydowano się na uruchomienie projektu w ramach PO WER.</w:t>
      </w:r>
    </w:p>
    <w:p w14:paraId="55C97744" w14:textId="77777777" w:rsidR="00732EE9" w:rsidRPr="00420C8C" w:rsidRDefault="00732EE9" w:rsidP="00732EE9">
      <w:pPr>
        <w:pStyle w:val="Akapitzlist"/>
        <w:numPr>
          <w:ilvl w:val="0"/>
          <w:numId w:val="20"/>
        </w:numPr>
        <w:spacing w:before="60" w:after="60"/>
        <w:ind w:left="426"/>
        <w:contextualSpacing w:val="0"/>
        <w:jc w:val="left"/>
        <w:rPr>
          <w:rFonts w:cs="Arial"/>
          <w:bCs/>
          <w:iCs/>
          <w:sz w:val="24"/>
        </w:rPr>
      </w:pPr>
      <w:r w:rsidRPr="00420C8C">
        <w:rPr>
          <w:rFonts w:cs="Arial"/>
          <w:bCs/>
          <w:iCs/>
          <w:sz w:val="24"/>
        </w:rPr>
        <w:t>Zmniejszenie wskaźników produktu:</w:t>
      </w:r>
    </w:p>
    <w:p w14:paraId="2CF160D1"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Liczba osób objętych wsparciem w zakresie zwalczania lub przeciwdziałania skutkom pandemii COVID-19</w:t>
      </w:r>
      <w:r w:rsidRPr="00420C8C">
        <w:rPr>
          <w:rFonts w:cs="Arial"/>
          <w:bCs/>
          <w:iCs/>
          <w:sz w:val="24"/>
        </w:rPr>
        <w:t xml:space="preserve"> z 32 870 na 21 670</w:t>
      </w:r>
    </w:p>
    <w:p w14:paraId="431C0818"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Liczba podmiotów objętych wsparciem w zakresie zwalczania lub przeciwdziałania skutkom pandemii COVID-19</w:t>
      </w:r>
      <w:r w:rsidRPr="00420C8C">
        <w:rPr>
          <w:rFonts w:cs="Arial"/>
          <w:bCs/>
          <w:iCs/>
          <w:sz w:val="24"/>
        </w:rPr>
        <w:t xml:space="preserve"> z 237 na 117</w:t>
      </w:r>
    </w:p>
    <w:p w14:paraId="256F5637"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Wartość wydatków kwalifikowalnych przeznaczonych na działania związane z pandemią COVID-19</w:t>
      </w:r>
      <w:r w:rsidRPr="00420C8C">
        <w:rPr>
          <w:rFonts w:cs="Arial"/>
          <w:bCs/>
          <w:iCs/>
          <w:sz w:val="24"/>
        </w:rPr>
        <w:t xml:space="preserve"> z 17 576 130,85 EUR na 11 429 104,56 EUR</w:t>
      </w:r>
    </w:p>
    <w:p w14:paraId="3B4B391F" w14:textId="77777777" w:rsidR="00732EE9" w:rsidRPr="00420C8C" w:rsidRDefault="00732EE9" w:rsidP="00732EE9">
      <w:pPr>
        <w:spacing w:before="60" w:after="60" w:line="360" w:lineRule="auto"/>
        <w:ind w:left="426"/>
        <w:rPr>
          <w:rFonts w:ascii="Arial" w:hAnsi="Arial" w:cs="Arial"/>
          <w:bCs/>
          <w:iCs/>
          <w:sz w:val="24"/>
          <w:szCs w:val="24"/>
        </w:rPr>
      </w:pPr>
      <w:r w:rsidRPr="00420C8C">
        <w:rPr>
          <w:rFonts w:ascii="Arial" w:hAnsi="Arial" w:cs="Arial"/>
          <w:b/>
          <w:iCs/>
          <w:sz w:val="24"/>
          <w:szCs w:val="24"/>
        </w:rPr>
        <w:t>Uzasadnienie:</w:t>
      </w:r>
      <w:r w:rsidRPr="00420C8C">
        <w:rPr>
          <w:rFonts w:ascii="Arial" w:hAnsi="Arial" w:cs="Arial"/>
          <w:bCs/>
          <w:iCs/>
          <w:sz w:val="24"/>
          <w:szCs w:val="24"/>
        </w:rPr>
        <w:t xml:space="preserve"> Pomimo szerokiej kampanii promocyjno-informacyjnej oraz rozszerzenia grupy potencjalnych </w:t>
      </w:r>
      <w:proofErr w:type="spellStart"/>
      <w:r w:rsidRPr="00420C8C">
        <w:rPr>
          <w:rFonts w:ascii="Arial" w:hAnsi="Arial" w:cs="Arial"/>
          <w:bCs/>
          <w:iCs/>
          <w:sz w:val="24"/>
          <w:szCs w:val="24"/>
        </w:rPr>
        <w:t>grantobiorców</w:t>
      </w:r>
      <w:proofErr w:type="spellEnd"/>
      <w:r w:rsidRPr="00420C8C">
        <w:rPr>
          <w:rFonts w:ascii="Arial" w:hAnsi="Arial" w:cs="Arial"/>
          <w:bCs/>
          <w:iCs/>
          <w:sz w:val="24"/>
          <w:szCs w:val="24"/>
        </w:rPr>
        <w:t>, do udziału w projekcie zgłosiła się znaczenie mniejsza aniżeli zakładano liczba podmiotów. Z</w:t>
      </w:r>
      <w:r>
        <w:rPr>
          <w:rFonts w:ascii="Arial" w:hAnsi="Arial" w:cs="Arial"/>
          <w:bCs/>
          <w:iCs/>
          <w:sz w:val="24"/>
          <w:szCs w:val="24"/>
        </w:rPr>
        <w:t> </w:t>
      </w:r>
      <w:r w:rsidRPr="00420C8C">
        <w:rPr>
          <w:rFonts w:ascii="Arial" w:hAnsi="Arial" w:cs="Arial"/>
          <w:bCs/>
          <w:iCs/>
          <w:sz w:val="24"/>
          <w:szCs w:val="24"/>
        </w:rPr>
        <w:t xml:space="preserve">informacji pozyskanych od potencjalnych </w:t>
      </w:r>
      <w:proofErr w:type="spellStart"/>
      <w:r w:rsidRPr="00420C8C">
        <w:rPr>
          <w:rFonts w:ascii="Arial" w:hAnsi="Arial" w:cs="Arial"/>
          <w:bCs/>
          <w:iCs/>
          <w:sz w:val="24"/>
          <w:szCs w:val="24"/>
        </w:rPr>
        <w:t>grantobiorców</w:t>
      </w:r>
      <w:proofErr w:type="spellEnd"/>
      <w:r w:rsidRPr="00420C8C">
        <w:rPr>
          <w:rFonts w:ascii="Arial" w:hAnsi="Arial" w:cs="Arial"/>
          <w:bCs/>
          <w:iCs/>
          <w:sz w:val="24"/>
          <w:szCs w:val="24"/>
        </w:rPr>
        <w:t xml:space="preserve"> wynika, że m.in. pojawiła się realna trudności związana z zatrudnianiem oraz wynagradzaniem kadry placówek doskonalenia nauczycieli i bibliotek pedagogicznych w</w:t>
      </w:r>
      <w:r>
        <w:rPr>
          <w:rFonts w:ascii="Arial" w:hAnsi="Arial" w:cs="Arial"/>
          <w:bCs/>
          <w:iCs/>
          <w:sz w:val="24"/>
          <w:szCs w:val="24"/>
        </w:rPr>
        <w:t> </w:t>
      </w:r>
      <w:r w:rsidRPr="00420C8C">
        <w:rPr>
          <w:rFonts w:ascii="Arial" w:hAnsi="Arial" w:cs="Arial"/>
          <w:bCs/>
          <w:iCs/>
          <w:sz w:val="24"/>
          <w:szCs w:val="24"/>
        </w:rPr>
        <w:t xml:space="preserve">ramach grantów, co w znacznym stopniu ogranicza ich możliwości realizacji grantów. </w:t>
      </w:r>
    </w:p>
    <w:p w14:paraId="4FDB3C7E" w14:textId="77777777" w:rsidR="00732EE9" w:rsidRPr="00420C8C" w:rsidRDefault="00732EE9" w:rsidP="00732EE9">
      <w:pPr>
        <w:pStyle w:val="Akapitzlist"/>
        <w:numPr>
          <w:ilvl w:val="0"/>
          <w:numId w:val="20"/>
        </w:numPr>
        <w:spacing w:before="60" w:after="60"/>
        <w:ind w:left="426"/>
        <w:contextualSpacing w:val="0"/>
        <w:jc w:val="left"/>
        <w:rPr>
          <w:rFonts w:cs="Arial"/>
          <w:bCs/>
          <w:iCs/>
          <w:sz w:val="24"/>
        </w:rPr>
      </w:pPr>
      <w:r w:rsidRPr="00420C8C">
        <w:rPr>
          <w:rFonts w:cs="Arial"/>
          <w:bCs/>
          <w:iCs/>
          <w:sz w:val="24"/>
        </w:rPr>
        <w:t>Zmiana częstotliwości pomiaru wskaźnika rezultatu bezpośredniego, zgodnie z aktualnym brzmieniem Planu Ewaluacji:</w:t>
      </w:r>
    </w:p>
    <w:p w14:paraId="28AC8CA2"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Odsetek szkół korzystających z  kompleksowego modelu wspierania pracy szkoły dzięki wsparciu z EFS</w:t>
      </w:r>
      <w:r w:rsidRPr="00420C8C">
        <w:rPr>
          <w:rFonts w:cs="Arial"/>
          <w:bCs/>
          <w:iCs/>
          <w:sz w:val="24"/>
        </w:rPr>
        <w:t xml:space="preserve"> z „co dwa lata” na „jednokrotnie”;</w:t>
      </w:r>
    </w:p>
    <w:p w14:paraId="7E9BFB0A"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Odsetek poradni psychologiczno-pedagogicznych stosujących wypracowane narzędzia do pracy z uczniami o specjalnych potrzebach edukacyjnych dzięki wsparciu z EFS</w:t>
      </w:r>
      <w:r w:rsidRPr="00420C8C">
        <w:rPr>
          <w:rFonts w:cs="Arial"/>
          <w:bCs/>
          <w:iCs/>
          <w:sz w:val="24"/>
        </w:rPr>
        <w:t xml:space="preserve"> z „co dwa lata” na „dwukrotnie”;</w:t>
      </w:r>
    </w:p>
    <w:p w14:paraId="40FAA6D1"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lastRenderedPageBreak/>
        <w:t>Odsetek szkół korzystających z opracowanych w ramach Programu narzędzi edukacyjnych w wymiarze co najmniej 25% przedmiotów</w:t>
      </w:r>
      <w:r w:rsidRPr="00420C8C">
        <w:rPr>
          <w:rFonts w:cs="Arial"/>
          <w:bCs/>
          <w:iCs/>
          <w:sz w:val="24"/>
        </w:rPr>
        <w:t xml:space="preserve"> z</w:t>
      </w:r>
      <w:r>
        <w:rPr>
          <w:rFonts w:cs="Arial"/>
          <w:bCs/>
          <w:iCs/>
          <w:sz w:val="24"/>
        </w:rPr>
        <w:t> </w:t>
      </w:r>
      <w:r w:rsidRPr="00420C8C">
        <w:rPr>
          <w:rFonts w:cs="Arial"/>
          <w:bCs/>
          <w:iCs/>
          <w:sz w:val="24"/>
        </w:rPr>
        <w:t>„rocznie” na „jednokrotnie”.</w:t>
      </w:r>
    </w:p>
    <w:p w14:paraId="6ADE8740" w14:textId="77777777" w:rsidR="00732EE9" w:rsidRPr="00420C8C" w:rsidRDefault="00732EE9" w:rsidP="00732EE9">
      <w:pPr>
        <w:pStyle w:val="Akapitzlist"/>
        <w:numPr>
          <w:ilvl w:val="0"/>
          <w:numId w:val="20"/>
        </w:numPr>
        <w:spacing w:before="60" w:after="60"/>
        <w:ind w:left="426"/>
        <w:contextualSpacing w:val="0"/>
        <w:jc w:val="left"/>
        <w:rPr>
          <w:rFonts w:cs="Arial"/>
          <w:bCs/>
          <w:iCs/>
          <w:sz w:val="24"/>
        </w:rPr>
      </w:pPr>
      <w:r w:rsidRPr="00420C8C">
        <w:rPr>
          <w:rFonts w:cs="Arial"/>
          <w:bCs/>
          <w:iCs/>
          <w:sz w:val="24"/>
        </w:rPr>
        <w:t xml:space="preserve">Zmiana źródła informacji dla wartości wskaźnika rezultatu bezpośredniego, zgodnie z aktualnym brzmieniem Planu Ewaluacyjnego: </w:t>
      </w:r>
      <w:r w:rsidRPr="00420C8C">
        <w:rPr>
          <w:rFonts w:cs="Arial"/>
          <w:bCs/>
          <w:i/>
          <w:sz w:val="24"/>
        </w:rPr>
        <w:t>Liczba Specjalistycznych Centrów Wspierających Edukację Włączającą funkcjonujących po opuszczeniu Programu</w:t>
      </w:r>
      <w:r w:rsidRPr="00420C8C">
        <w:rPr>
          <w:rFonts w:cs="Arial"/>
          <w:bCs/>
          <w:iCs/>
          <w:sz w:val="24"/>
        </w:rPr>
        <w:t xml:space="preserve"> z „badanie ewaluacyjne” na „dane beneficjenta”.</w:t>
      </w:r>
    </w:p>
    <w:p w14:paraId="75F78E98" w14:textId="77777777" w:rsidR="00732EE9" w:rsidRPr="00420C8C" w:rsidRDefault="00732EE9" w:rsidP="00732EE9">
      <w:pPr>
        <w:spacing w:before="60" w:after="60" w:line="360" w:lineRule="auto"/>
        <w:rPr>
          <w:rFonts w:ascii="Arial" w:hAnsi="Arial" w:cs="Arial"/>
          <w:b/>
          <w:iCs/>
          <w:sz w:val="24"/>
          <w:szCs w:val="24"/>
          <w:u w:val="single"/>
        </w:rPr>
      </w:pPr>
      <w:r w:rsidRPr="00420C8C">
        <w:rPr>
          <w:rFonts w:ascii="Arial" w:hAnsi="Arial" w:cs="Arial"/>
          <w:b/>
          <w:iCs/>
          <w:sz w:val="24"/>
          <w:szCs w:val="24"/>
          <w:u w:val="single"/>
        </w:rPr>
        <w:t>Priorytet inwestycyjny 10iii:</w:t>
      </w:r>
    </w:p>
    <w:p w14:paraId="3526503C" w14:textId="77777777" w:rsidR="00732EE9" w:rsidRPr="00420C8C" w:rsidRDefault="00732EE9" w:rsidP="00732EE9">
      <w:pPr>
        <w:pStyle w:val="Akapitzlist"/>
        <w:numPr>
          <w:ilvl w:val="0"/>
          <w:numId w:val="22"/>
        </w:numPr>
        <w:spacing w:before="60" w:after="60"/>
        <w:ind w:left="426"/>
        <w:contextualSpacing w:val="0"/>
        <w:jc w:val="left"/>
        <w:rPr>
          <w:rFonts w:cs="Arial"/>
          <w:bCs/>
          <w:iCs/>
          <w:sz w:val="24"/>
        </w:rPr>
      </w:pPr>
      <w:r w:rsidRPr="00420C8C">
        <w:rPr>
          <w:rFonts w:cs="Arial"/>
          <w:bCs/>
          <w:iCs/>
          <w:sz w:val="24"/>
        </w:rPr>
        <w:t>Zmiana częstotliwości pomiaru wskaźnika rezultatu bezpośredniego, zgodnie z aktualnym brzmieniem Planu Ewaluacji:</w:t>
      </w:r>
    </w:p>
    <w:p w14:paraId="19E0E0BF"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Odsetek szkół i placówek prowadzących pozaszkolne formy kształcenia dorosłych, które stosują  modelowe programy  nauczania dla kursów opracowanych w  programie</w:t>
      </w:r>
      <w:r w:rsidRPr="00420C8C">
        <w:rPr>
          <w:rFonts w:cs="Arial"/>
          <w:bCs/>
          <w:iCs/>
          <w:sz w:val="24"/>
        </w:rPr>
        <w:t xml:space="preserve"> z „co dwa lata” na „dwukrotnie”;</w:t>
      </w:r>
    </w:p>
    <w:p w14:paraId="631AB5C8"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Odsetek szkół i placówek dla młodzieży i dorosłych, w których funkcjonuje doradztwo edukacyjno-zawodowe zgodnie z wypracowanymi wzorcami</w:t>
      </w:r>
      <w:r w:rsidRPr="00420C8C">
        <w:rPr>
          <w:rFonts w:cs="Arial"/>
          <w:bCs/>
          <w:iCs/>
          <w:sz w:val="24"/>
        </w:rPr>
        <w:t xml:space="preserve"> z</w:t>
      </w:r>
      <w:r>
        <w:rPr>
          <w:rFonts w:cs="Arial"/>
          <w:bCs/>
          <w:iCs/>
          <w:sz w:val="24"/>
        </w:rPr>
        <w:t> </w:t>
      </w:r>
      <w:r w:rsidRPr="00420C8C">
        <w:rPr>
          <w:rFonts w:cs="Arial"/>
          <w:bCs/>
          <w:iCs/>
          <w:sz w:val="24"/>
        </w:rPr>
        <w:t>„dwukrotnie” na „jednokrotnie”.</w:t>
      </w:r>
    </w:p>
    <w:p w14:paraId="12BCB4EB" w14:textId="77777777" w:rsidR="00732EE9" w:rsidRPr="00420C8C" w:rsidRDefault="00732EE9" w:rsidP="00732EE9">
      <w:pPr>
        <w:spacing w:before="60" w:after="60" w:line="360" w:lineRule="auto"/>
        <w:rPr>
          <w:rFonts w:ascii="Arial" w:hAnsi="Arial" w:cs="Arial"/>
          <w:b/>
          <w:iCs/>
          <w:sz w:val="24"/>
          <w:szCs w:val="24"/>
          <w:u w:val="single"/>
        </w:rPr>
      </w:pPr>
      <w:r w:rsidRPr="00420C8C">
        <w:rPr>
          <w:rFonts w:ascii="Arial" w:hAnsi="Arial" w:cs="Arial"/>
          <w:b/>
          <w:iCs/>
          <w:sz w:val="24"/>
          <w:szCs w:val="24"/>
          <w:u w:val="single"/>
        </w:rPr>
        <w:t>Priorytet inwestycyjny 10iv:</w:t>
      </w:r>
    </w:p>
    <w:p w14:paraId="6C754720" w14:textId="77777777" w:rsidR="00732EE9" w:rsidRPr="00420C8C" w:rsidRDefault="00732EE9" w:rsidP="00732EE9">
      <w:pPr>
        <w:pStyle w:val="Akapitzlist"/>
        <w:numPr>
          <w:ilvl w:val="0"/>
          <w:numId w:val="20"/>
        </w:numPr>
        <w:spacing w:before="60" w:after="60"/>
        <w:ind w:left="426"/>
        <w:contextualSpacing w:val="0"/>
        <w:jc w:val="left"/>
        <w:rPr>
          <w:rFonts w:cs="Arial"/>
          <w:bCs/>
          <w:iCs/>
          <w:sz w:val="24"/>
        </w:rPr>
      </w:pPr>
      <w:r w:rsidRPr="00420C8C">
        <w:rPr>
          <w:rFonts w:cs="Arial"/>
          <w:bCs/>
          <w:iCs/>
          <w:sz w:val="24"/>
        </w:rPr>
        <w:t xml:space="preserve">Dodanie w ramach celu 1 typu operacji dotyczącego organizacji międzynarodowych konkursów umiejętności. W powiązaniu z tą zmianą, dodano Fundację Rozwoju Systemu Edukacji do głównych beneficjentów oraz wskaźnik produktu przedstawiający </w:t>
      </w:r>
      <w:r w:rsidRPr="00420C8C">
        <w:rPr>
          <w:rFonts w:cs="Arial"/>
          <w:bCs/>
          <w:i/>
          <w:sz w:val="24"/>
        </w:rPr>
        <w:t>liczbę zawodów objętych kształceniem branżowym w Polsce, dla których opracowano rekomendacje dotyczące dodatkowych umiejętności, wykraczających poza podstawę programową, pozwalających na osiągnięcie poziomu eksperckiego</w:t>
      </w:r>
      <w:r w:rsidRPr="00420C8C">
        <w:rPr>
          <w:rFonts w:cs="Arial"/>
          <w:bCs/>
          <w:iCs/>
          <w:sz w:val="24"/>
        </w:rPr>
        <w:t>.</w:t>
      </w:r>
    </w:p>
    <w:p w14:paraId="6A3699D2" w14:textId="77777777" w:rsidR="00732EE9" w:rsidRPr="00420C8C" w:rsidRDefault="00732EE9" w:rsidP="00732EE9">
      <w:pPr>
        <w:pStyle w:val="Akapitzlist"/>
        <w:spacing w:before="60" w:after="60"/>
        <w:ind w:left="426"/>
        <w:contextualSpacing w:val="0"/>
        <w:jc w:val="left"/>
        <w:rPr>
          <w:rFonts w:cs="Arial"/>
          <w:bCs/>
          <w:iCs/>
          <w:sz w:val="24"/>
        </w:rPr>
      </w:pPr>
      <w:r w:rsidRPr="00420C8C">
        <w:rPr>
          <w:rFonts w:cs="Arial"/>
          <w:b/>
          <w:iCs/>
          <w:sz w:val="24"/>
        </w:rPr>
        <w:t>Uzasadnienie:</w:t>
      </w:r>
      <w:r w:rsidRPr="00420C8C">
        <w:rPr>
          <w:rFonts w:cs="Arial"/>
          <w:bCs/>
          <w:iCs/>
          <w:sz w:val="24"/>
        </w:rPr>
        <w:t xml:space="preserve"> W związku z inwazją Federacji Rosyjskiej na Ukrainę międzynarodowy konkurs </w:t>
      </w:r>
      <w:proofErr w:type="spellStart"/>
      <w:r w:rsidRPr="00420C8C">
        <w:rPr>
          <w:rFonts w:cs="Arial"/>
          <w:bCs/>
          <w:iCs/>
          <w:sz w:val="24"/>
        </w:rPr>
        <w:t>Euroskills</w:t>
      </w:r>
      <w:proofErr w:type="spellEnd"/>
      <w:r w:rsidRPr="00420C8C">
        <w:rPr>
          <w:rFonts w:cs="Arial"/>
          <w:bCs/>
          <w:iCs/>
          <w:sz w:val="24"/>
        </w:rPr>
        <w:t xml:space="preserve"> 2023, który miał odbyć się w Rosji został przeniesiony do Polski. Sam konkurs jest bardzo skutecznym narzędziem promocji kształcenia zawodowego. Pozwala pokazać, w sposób atrakcyjny i</w:t>
      </w:r>
      <w:r>
        <w:rPr>
          <w:rFonts w:cs="Arial"/>
          <w:bCs/>
          <w:iCs/>
          <w:sz w:val="24"/>
        </w:rPr>
        <w:t> </w:t>
      </w:r>
      <w:r w:rsidRPr="00420C8C">
        <w:rPr>
          <w:rFonts w:cs="Arial"/>
          <w:bCs/>
          <w:iCs/>
          <w:sz w:val="24"/>
        </w:rPr>
        <w:t xml:space="preserve">przyciągający uwagę młodych ludzi, znaczenie, profesjonalizm i złożoność kształcenia zawodowego, a także unaocznić jak atrakcyjną ścieżką rozwoju może być ta forma edukacji. Stanowi także możliwość zaprezentowania </w:t>
      </w:r>
      <w:r w:rsidRPr="00420C8C">
        <w:rPr>
          <w:rFonts w:cs="Arial"/>
          <w:bCs/>
          <w:iCs/>
          <w:sz w:val="24"/>
        </w:rPr>
        <w:lastRenderedPageBreak/>
        <w:t xml:space="preserve">pracodawcom korzyści w zaangażowanie się w proces kształcenia zawodowego. Dlatego też zdecydowano się uwzględnić to działanie w PO WER. </w:t>
      </w:r>
    </w:p>
    <w:p w14:paraId="4202BFBE" w14:textId="77777777" w:rsidR="00732EE9" w:rsidRPr="00420C8C" w:rsidRDefault="00732EE9" w:rsidP="00732EE9">
      <w:pPr>
        <w:pStyle w:val="Akapitzlist"/>
        <w:numPr>
          <w:ilvl w:val="0"/>
          <w:numId w:val="20"/>
        </w:numPr>
        <w:spacing w:before="60" w:after="60"/>
        <w:ind w:left="426"/>
        <w:contextualSpacing w:val="0"/>
        <w:jc w:val="left"/>
        <w:rPr>
          <w:rFonts w:cs="Arial"/>
          <w:bCs/>
          <w:iCs/>
          <w:sz w:val="24"/>
        </w:rPr>
      </w:pPr>
      <w:r w:rsidRPr="00420C8C">
        <w:rPr>
          <w:rFonts w:cs="Arial"/>
          <w:bCs/>
          <w:iCs/>
          <w:sz w:val="24"/>
        </w:rPr>
        <w:t>Zmiana częstotliwości pomiaru wskaźnika rezultatu bezpośredniego, zgodnie z aktualnym brzmieniem Planu Ewaluacji:</w:t>
      </w:r>
    </w:p>
    <w:p w14:paraId="7E82B4CF"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Odsetek ponadpodstawowych publicznych szkół zawodowych dla młodzieży, które realizują kształcenie w zawodach objętych modernizacją w oparciu o zmodernizowane we współpracy z pracodawcami podstawy programowe</w:t>
      </w:r>
      <w:r w:rsidRPr="00420C8C">
        <w:rPr>
          <w:rFonts w:cs="Arial"/>
          <w:bCs/>
          <w:iCs/>
          <w:sz w:val="24"/>
        </w:rPr>
        <w:t xml:space="preserve"> z „dwukrotnie” na „jednokrotnie”;</w:t>
      </w:r>
    </w:p>
    <w:p w14:paraId="775F72C4"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Odsetek partnerów społecznych reprezentatywnych dla zawodów szkolnictwa zawodowego, trwale zaangażowanych w działania służące dostosowaniu tego kształcenia do potrzeb rynku pracy</w:t>
      </w:r>
      <w:r w:rsidRPr="00420C8C">
        <w:rPr>
          <w:rFonts w:cs="Arial"/>
          <w:bCs/>
          <w:iCs/>
          <w:sz w:val="24"/>
        </w:rPr>
        <w:t xml:space="preserve"> z „rocznie” na „jednokrotnie”;</w:t>
      </w:r>
    </w:p>
    <w:p w14:paraId="23C2B5ED"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Odsetek ponadpodstawowych publicznych szkół zawodowych dla młodzieży kształcących na poziomie kwalifikacji technika, wykorzystujących wypracowane w Programie rozwiązania organizacyjne w</w:t>
      </w:r>
      <w:r>
        <w:rPr>
          <w:rFonts w:cs="Arial"/>
          <w:bCs/>
          <w:i/>
          <w:sz w:val="24"/>
        </w:rPr>
        <w:t> </w:t>
      </w:r>
      <w:r w:rsidRPr="00420C8C">
        <w:rPr>
          <w:rFonts w:cs="Arial"/>
          <w:bCs/>
          <w:i/>
          <w:sz w:val="24"/>
        </w:rPr>
        <w:t>zakresie praktycznej nauki zawodu</w:t>
      </w:r>
      <w:r w:rsidRPr="00420C8C">
        <w:rPr>
          <w:rFonts w:cs="Arial"/>
          <w:bCs/>
          <w:iCs/>
          <w:sz w:val="24"/>
        </w:rPr>
        <w:t xml:space="preserve"> z „dwukrotnie” na „jednokrotnie”</w:t>
      </w:r>
      <w:r w:rsidRPr="00420C8C">
        <w:rPr>
          <w:rFonts w:cs="Arial"/>
          <w:bCs/>
          <w:i/>
          <w:sz w:val="24"/>
        </w:rPr>
        <w:t>;</w:t>
      </w:r>
    </w:p>
    <w:p w14:paraId="7FCA0E26" w14:textId="77777777" w:rsidR="00732EE9" w:rsidRPr="00420C8C" w:rsidRDefault="00732EE9" w:rsidP="00732EE9">
      <w:pPr>
        <w:pStyle w:val="Akapitzlist"/>
        <w:numPr>
          <w:ilvl w:val="1"/>
          <w:numId w:val="20"/>
        </w:numPr>
        <w:spacing w:before="60" w:after="60"/>
        <w:ind w:left="1134"/>
        <w:contextualSpacing w:val="0"/>
        <w:jc w:val="left"/>
        <w:rPr>
          <w:rFonts w:cs="Arial"/>
          <w:bCs/>
          <w:iCs/>
          <w:sz w:val="24"/>
        </w:rPr>
      </w:pPr>
      <w:r w:rsidRPr="00420C8C">
        <w:rPr>
          <w:rFonts w:cs="Arial"/>
          <w:bCs/>
          <w:i/>
          <w:sz w:val="24"/>
        </w:rPr>
        <w:t>Odsetek publicznych szkół ponadpodstawowych prowadzących kształcenie zawodowe korzystających z tworzonych w ramach programu e-materiałów</w:t>
      </w:r>
      <w:r w:rsidRPr="00420C8C">
        <w:rPr>
          <w:rFonts w:cs="Arial"/>
          <w:bCs/>
          <w:iCs/>
          <w:sz w:val="24"/>
        </w:rPr>
        <w:t xml:space="preserve"> z „dwukrotnie” na „jednokrotnie”.</w:t>
      </w:r>
    </w:p>
    <w:p w14:paraId="058DCBD5" w14:textId="77777777" w:rsidR="00732EE9" w:rsidRPr="00420C8C" w:rsidRDefault="00732EE9" w:rsidP="00732EE9">
      <w:pPr>
        <w:spacing w:before="60" w:after="60" w:line="360" w:lineRule="auto"/>
        <w:rPr>
          <w:rFonts w:ascii="Arial" w:hAnsi="Arial" w:cs="Arial"/>
          <w:b/>
          <w:iCs/>
          <w:sz w:val="24"/>
          <w:szCs w:val="24"/>
          <w:u w:val="single"/>
        </w:rPr>
      </w:pPr>
      <w:r w:rsidRPr="00420C8C">
        <w:rPr>
          <w:rFonts w:ascii="Arial" w:hAnsi="Arial" w:cs="Arial"/>
          <w:b/>
          <w:iCs/>
          <w:sz w:val="24"/>
          <w:szCs w:val="24"/>
          <w:u w:val="single"/>
        </w:rPr>
        <w:t>Priorytet inwestycyjny 11i</w:t>
      </w:r>
    </w:p>
    <w:p w14:paraId="2BD15FF4" w14:textId="77777777" w:rsidR="00732EE9" w:rsidRPr="00420C8C" w:rsidRDefault="00732EE9" w:rsidP="00732EE9">
      <w:pPr>
        <w:pStyle w:val="Akapitzlist"/>
        <w:numPr>
          <w:ilvl w:val="0"/>
          <w:numId w:val="20"/>
        </w:numPr>
        <w:spacing w:before="60" w:after="60"/>
        <w:ind w:left="426"/>
        <w:contextualSpacing w:val="0"/>
        <w:jc w:val="left"/>
        <w:rPr>
          <w:rFonts w:eastAsia="Calibri" w:cs="Arial"/>
          <w:iCs/>
          <w:sz w:val="24"/>
        </w:rPr>
      </w:pPr>
      <w:r w:rsidRPr="00420C8C">
        <w:rPr>
          <w:rFonts w:eastAsia="Calibri" w:cs="Arial"/>
          <w:iCs/>
          <w:sz w:val="24"/>
        </w:rPr>
        <w:t xml:space="preserve">Usunięcie wskaźnika: </w:t>
      </w:r>
      <w:r w:rsidRPr="00420C8C">
        <w:rPr>
          <w:rFonts w:eastAsia="Calibri" w:cs="Arial"/>
          <w:i/>
          <w:sz w:val="24"/>
        </w:rPr>
        <w:t>Liczba utworzonych szablonów modelowych serwisów internetowych administracji publicznej (www urzędu, BIP itp.).</w:t>
      </w:r>
    </w:p>
    <w:p w14:paraId="1A5AE89D" w14:textId="77777777" w:rsidR="00732EE9" w:rsidRPr="00420C8C" w:rsidRDefault="00732EE9" w:rsidP="00732EE9">
      <w:pPr>
        <w:pStyle w:val="Akapitzlist"/>
        <w:spacing w:before="60" w:after="60"/>
        <w:ind w:left="426"/>
        <w:contextualSpacing w:val="0"/>
        <w:jc w:val="left"/>
        <w:rPr>
          <w:rFonts w:eastAsia="Calibri" w:cs="Arial"/>
          <w:b/>
          <w:bCs/>
          <w:iCs/>
          <w:sz w:val="24"/>
        </w:rPr>
      </w:pPr>
      <w:r w:rsidRPr="00420C8C">
        <w:rPr>
          <w:rFonts w:eastAsia="Calibri" w:cs="Arial"/>
          <w:b/>
          <w:bCs/>
          <w:iCs/>
          <w:sz w:val="24"/>
        </w:rPr>
        <w:t xml:space="preserve">Uzasadnienie: </w:t>
      </w:r>
      <w:r w:rsidRPr="00420C8C">
        <w:rPr>
          <w:rFonts w:eastAsia="Calibri" w:cs="Arial"/>
          <w:iCs/>
          <w:sz w:val="24"/>
        </w:rPr>
        <w:t>Powodem rezygnacji z opracowania pakietu dostępnych cyfrowo szablonów jest uruchomienie serwisu samorzad.gov.pl, który oferuje jednostkom samorządu terytorialnego pełną dostępność cyfrową swoich szablonów. Niewykorzystane środki zostały przesunięte na opracowanie internetowego poradnika dla JST dotyczącego dostępności cyfrowej.</w:t>
      </w:r>
    </w:p>
    <w:p w14:paraId="2C9A81C3" w14:textId="77777777" w:rsidR="00732EE9" w:rsidRPr="00420C8C" w:rsidRDefault="00732EE9" w:rsidP="00732EE9">
      <w:pPr>
        <w:pStyle w:val="Akapitzlist"/>
        <w:numPr>
          <w:ilvl w:val="0"/>
          <w:numId w:val="20"/>
        </w:numPr>
        <w:spacing w:before="60" w:after="60"/>
        <w:ind w:left="426"/>
        <w:contextualSpacing w:val="0"/>
        <w:jc w:val="left"/>
        <w:rPr>
          <w:rFonts w:eastAsia="Calibri" w:cs="Arial"/>
          <w:iCs/>
          <w:sz w:val="24"/>
        </w:rPr>
      </w:pPr>
      <w:r w:rsidRPr="00420C8C">
        <w:rPr>
          <w:rFonts w:eastAsia="Calibri" w:cs="Arial"/>
          <w:iCs/>
          <w:sz w:val="24"/>
        </w:rPr>
        <w:t xml:space="preserve">W związku ze negatywnymi skutkami pandemii COVID oraz kryzysu uchodźczego, obniżono wartość wskaźnika rezultatu: </w:t>
      </w:r>
      <w:r w:rsidRPr="00420C8C">
        <w:rPr>
          <w:rFonts w:eastAsia="Calibri" w:cs="Arial"/>
          <w:i/>
          <w:sz w:val="24"/>
        </w:rPr>
        <w:t xml:space="preserve">Liczba </w:t>
      </w:r>
      <w:r w:rsidRPr="00420C8C">
        <w:rPr>
          <w:rFonts w:eastAsia="ヒラギノ角ゴ Pro W3" w:cs="Arial"/>
          <w:i/>
          <w:sz w:val="24"/>
        </w:rPr>
        <w:t>jednostek samorządu terytorialnego, które przedłożyły do zatwierdzenia dokumenty dotyczące planowania przestrzennego wypracowane wspólnie z NGO</w:t>
      </w:r>
      <w:r w:rsidRPr="00420C8C">
        <w:rPr>
          <w:rFonts w:eastAsia="ヒラギノ角ゴ Pro W3" w:cs="Arial"/>
          <w:sz w:val="24"/>
        </w:rPr>
        <w:t xml:space="preserve"> z 513 na 415.</w:t>
      </w:r>
    </w:p>
    <w:p w14:paraId="3E70EE8E" w14:textId="77777777" w:rsidR="00732EE9" w:rsidRPr="00420C8C" w:rsidRDefault="00732EE9" w:rsidP="00732EE9">
      <w:pPr>
        <w:pStyle w:val="Tekstkomentarza"/>
        <w:spacing w:before="60" w:after="60" w:line="360" w:lineRule="auto"/>
        <w:ind w:left="426"/>
        <w:rPr>
          <w:rFonts w:ascii="Arial" w:hAnsi="Arial" w:cs="Arial"/>
          <w:sz w:val="24"/>
          <w:szCs w:val="24"/>
        </w:rPr>
      </w:pPr>
      <w:r w:rsidRPr="00420C8C">
        <w:rPr>
          <w:rFonts w:ascii="Arial" w:hAnsi="Arial" w:cs="Arial"/>
          <w:b/>
          <w:bCs/>
          <w:sz w:val="24"/>
          <w:szCs w:val="24"/>
        </w:rPr>
        <w:lastRenderedPageBreak/>
        <w:t>Uzasadnienie:</w:t>
      </w:r>
      <w:r w:rsidRPr="00420C8C">
        <w:rPr>
          <w:rFonts w:ascii="Arial" w:hAnsi="Arial" w:cs="Arial"/>
          <w:sz w:val="24"/>
          <w:szCs w:val="24"/>
        </w:rPr>
        <w:t xml:space="preserve"> Obniżenie wartości wskaźnika wynika z konieczności dostosowania jego wartości do ilości jednostek samorządu terytorialnego, które w okresie realizacji programu </w:t>
      </w:r>
      <w:r w:rsidRPr="00420C8C">
        <w:rPr>
          <w:rFonts w:ascii="Arial" w:eastAsia="ヒラギノ角ゴ Pro W3" w:hAnsi="Arial" w:cs="Arial"/>
          <w:sz w:val="24"/>
          <w:szCs w:val="24"/>
        </w:rPr>
        <w:t xml:space="preserve">przedłożą do zatwierdzenia dokumentu dotyczące planowania przestrzennego wypracowane wspólnie z NGO. Powyższe procesy zostały znacząco utrudnione ze wg na pandemię COVID, w wyniku której </w:t>
      </w:r>
      <w:r w:rsidRPr="00420C8C">
        <w:rPr>
          <w:rFonts w:ascii="Arial" w:hAnsi="Arial" w:cs="Arial"/>
          <w:sz w:val="24"/>
          <w:szCs w:val="24"/>
        </w:rPr>
        <w:t>wstrzymano/wydłużono procesy konsultacyjne, przekierowano zasoby kadrowe w gminach na działania związane z zapobieganiem skutkom pandemii, ograniczono możliwości realizacji technik konsultacyjnych ze wg na ograniczenia wynikające z pandemii oraz ograniczono środki w gminach na realizację pogłębionych procesów konsultacyjnych, w wyniku czego dochodziło do rezygnacji gmin z przeprowadzenia pogłębionych procesów konsultacyjnych i rozwiązania wcześniej podpisanych umów w tym zakresie. Dodatkowo, trwający kryzys uchodźczy powoduje przekierowanie zasobów kadrowych i finansowych w gminach na pomoc uchodźcom i rezygnację z</w:t>
      </w:r>
      <w:r>
        <w:rPr>
          <w:rFonts w:ascii="Arial" w:hAnsi="Arial" w:cs="Arial"/>
          <w:sz w:val="24"/>
          <w:szCs w:val="24"/>
        </w:rPr>
        <w:t> </w:t>
      </w:r>
      <w:r w:rsidRPr="00420C8C">
        <w:rPr>
          <w:rFonts w:ascii="Arial" w:hAnsi="Arial" w:cs="Arial"/>
          <w:sz w:val="24"/>
          <w:szCs w:val="24"/>
        </w:rPr>
        <w:t>wcześniej zaplanowanych działań w zakresie konsultacji społecznych. W</w:t>
      </w:r>
      <w:r>
        <w:rPr>
          <w:rFonts w:ascii="Arial" w:hAnsi="Arial" w:cs="Arial"/>
          <w:sz w:val="24"/>
          <w:szCs w:val="24"/>
        </w:rPr>
        <w:t> </w:t>
      </w:r>
      <w:r w:rsidRPr="00420C8C">
        <w:rPr>
          <w:rFonts w:ascii="Arial" w:hAnsi="Arial" w:cs="Arial"/>
          <w:sz w:val="24"/>
          <w:szCs w:val="24"/>
        </w:rPr>
        <w:t>wyniku wyżej wskazanych zjawisk samorządy gminne zmagają się z</w:t>
      </w:r>
      <w:r>
        <w:rPr>
          <w:rFonts w:ascii="Arial" w:hAnsi="Arial" w:cs="Arial"/>
          <w:sz w:val="24"/>
          <w:szCs w:val="24"/>
        </w:rPr>
        <w:t> </w:t>
      </w:r>
      <w:r w:rsidRPr="00420C8C">
        <w:rPr>
          <w:rFonts w:ascii="Arial" w:hAnsi="Arial" w:cs="Arial"/>
          <w:sz w:val="24"/>
          <w:szCs w:val="24"/>
        </w:rPr>
        <w:t>pogarszającą sytuacją finansową, w wyniku której koniecznym jest ograniczenie wydatków na pogłębione procesy konsultacyjne oraz przygotowanie dokumentów planistycznych w celu realizacji podstawowych usług publicznych.</w:t>
      </w:r>
    </w:p>
    <w:p w14:paraId="0D7C99D3" w14:textId="77777777" w:rsidR="00732EE9" w:rsidRPr="00420C8C" w:rsidRDefault="00732EE9" w:rsidP="00732EE9">
      <w:pPr>
        <w:spacing w:before="60" w:after="60" w:line="360" w:lineRule="auto"/>
        <w:rPr>
          <w:rFonts w:ascii="Arial" w:hAnsi="Arial" w:cs="Arial"/>
          <w:b/>
          <w:bCs/>
          <w:iCs/>
          <w:sz w:val="24"/>
          <w:szCs w:val="24"/>
          <w:u w:val="single"/>
        </w:rPr>
      </w:pPr>
      <w:r w:rsidRPr="00420C8C">
        <w:rPr>
          <w:rFonts w:ascii="Arial" w:hAnsi="Arial" w:cs="Arial"/>
          <w:b/>
          <w:bCs/>
          <w:iCs/>
          <w:sz w:val="24"/>
          <w:szCs w:val="24"/>
          <w:u w:val="single"/>
        </w:rPr>
        <w:t>Priorytet inwestycyjny 11ii</w:t>
      </w:r>
    </w:p>
    <w:p w14:paraId="0025FE23" w14:textId="77777777" w:rsidR="00732EE9" w:rsidRPr="00420C8C" w:rsidRDefault="00732EE9" w:rsidP="00732EE9">
      <w:pPr>
        <w:pStyle w:val="Akapitzlist"/>
        <w:numPr>
          <w:ilvl w:val="0"/>
          <w:numId w:val="20"/>
        </w:numPr>
        <w:spacing w:before="60" w:after="60"/>
        <w:ind w:left="426"/>
        <w:contextualSpacing w:val="0"/>
        <w:jc w:val="left"/>
        <w:rPr>
          <w:rFonts w:cs="Arial"/>
          <w:bCs/>
          <w:i/>
          <w:iCs/>
          <w:sz w:val="24"/>
        </w:rPr>
      </w:pPr>
      <w:r w:rsidRPr="00420C8C">
        <w:rPr>
          <w:rFonts w:cs="Arial"/>
          <w:bCs/>
          <w:sz w:val="24"/>
        </w:rPr>
        <w:t xml:space="preserve">Usunięcie typu projektu </w:t>
      </w:r>
      <w:r w:rsidRPr="00420C8C">
        <w:rPr>
          <w:rFonts w:cs="Arial"/>
          <w:bCs/>
          <w:i/>
          <w:iCs/>
          <w:sz w:val="24"/>
        </w:rPr>
        <w:t>Przygotowanie na bazie istniejącego portalu „dialog społeczny” repozytorium wiedzy zawierającego wyniki badań i analiz w</w:t>
      </w:r>
      <w:r>
        <w:rPr>
          <w:rFonts w:cs="Arial"/>
          <w:bCs/>
          <w:i/>
          <w:iCs/>
          <w:sz w:val="24"/>
        </w:rPr>
        <w:t> </w:t>
      </w:r>
      <w:r w:rsidRPr="00420C8C">
        <w:rPr>
          <w:rFonts w:cs="Arial"/>
          <w:bCs/>
          <w:i/>
          <w:iCs/>
          <w:sz w:val="24"/>
        </w:rPr>
        <w:t>zakresie polityki rynku pracy i dostosowania do jego potrzeb systemów edukacji i szkolenia, a także prowadzenie forum współpracy, przygotowanie agendy badawczej.</w:t>
      </w:r>
    </w:p>
    <w:p w14:paraId="4C9326F5" w14:textId="77777777" w:rsidR="00732EE9" w:rsidRPr="00420C8C" w:rsidRDefault="00732EE9" w:rsidP="00732EE9">
      <w:pPr>
        <w:pStyle w:val="Akapitzlist"/>
        <w:spacing w:before="60" w:after="60"/>
        <w:ind w:left="426"/>
        <w:contextualSpacing w:val="0"/>
        <w:jc w:val="left"/>
        <w:rPr>
          <w:rFonts w:cs="Arial"/>
          <w:bCs/>
          <w:sz w:val="24"/>
        </w:rPr>
      </w:pPr>
      <w:r w:rsidRPr="00420C8C">
        <w:rPr>
          <w:rFonts w:cs="Arial"/>
          <w:b/>
          <w:sz w:val="24"/>
        </w:rPr>
        <w:t xml:space="preserve">Uzasadnienie: </w:t>
      </w:r>
      <w:r w:rsidRPr="00420C8C">
        <w:rPr>
          <w:rFonts w:cs="Arial"/>
          <w:bCs/>
          <w:sz w:val="24"/>
        </w:rPr>
        <w:t xml:space="preserve">Typ projektu przewidziany był do realizacji w ramach projektu </w:t>
      </w:r>
      <w:r w:rsidRPr="00420C8C">
        <w:rPr>
          <w:rFonts w:cs="Arial"/>
          <w:bCs/>
          <w:i/>
          <w:iCs/>
          <w:sz w:val="24"/>
        </w:rPr>
        <w:t>Edukacja dla Rynku Pracy. Udział Partnerów Społecznych w kształtowaniu strategii umiejętności i rozwoju kapitału ludzkiego</w:t>
      </w:r>
      <w:r w:rsidRPr="00420C8C">
        <w:rPr>
          <w:rFonts w:cs="Arial"/>
          <w:bCs/>
          <w:sz w:val="24"/>
        </w:rPr>
        <w:t xml:space="preserve"> w ramach Działania 2.20 </w:t>
      </w:r>
      <w:proofErr w:type="spellStart"/>
      <w:r w:rsidRPr="00420C8C">
        <w:rPr>
          <w:rFonts w:cs="Arial"/>
          <w:bCs/>
          <w:sz w:val="24"/>
        </w:rPr>
        <w:t>SzOOP</w:t>
      </w:r>
      <w:proofErr w:type="spellEnd"/>
      <w:r w:rsidRPr="00420C8C">
        <w:rPr>
          <w:rFonts w:cs="Arial"/>
          <w:bCs/>
          <w:sz w:val="24"/>
        </w:rPr>
        <w:t xml:space="preserve"> PO WER.</w:t>
      </w:r>
      <w:r w:rsidRPr="00420C8C">
        <w:rPr>
          <w:rFonts w:cs="Arial"/>
          <w:b/>
          <w:sz w:val="24"/>
        </w:rPr>
        <w:t xml:space="preserve"> </w:t>
      </w:r>
      <w:r w:rsidRPr="00420C8C">
        <w:rPr>
          <w:rFonts w:cs="Arial"/>
          <w:bCs/>
          <w:sz w:val="24"/>
        </w:rPr>
        <w:t>Beneficjent projektu – Centrum Partnerstwa Społecznego „Dialog” zrezygnował z realizacji ww. projektu, a alokacja została przeznaczona na projekty partnerów społecznych związane z wystąpieniem pandemii COVID-19.</w:t>
      </w:r>
    </w:p>
    <w:p w14:paraId="444A5F38" w14:textId="77777777" w:rsidR="00732EE9" w:rsidRPr="00420C8C" w:rsidRDefault="00732EE9" w:rsidP="00732EE9">
      <w:pPr>
        <w:pStyle w:val="Akapitzlist"/>
        <w:numPr>
          <w:ilvl w:val="0"/>
          <w:numId w:val="20"/>
        </w:numPr>
        <w:spacing w:before="60" w:after="60"/>
        <w:ind w:left="426"/>
        <w:contextualSpacing w:val="0"/>
        <w:jc w:val="left"/>
        <w:rPr>
          <w:rFonts w:cs="Arial"/>
          <w:i/>
          <w:sz w:val="24"/>
        </w:rPr>
      </w:pPr>
      <w:r w:rsidRPr="00420C8C">
        <w:rPr>
          <w:rFonts w:cs="Arial"/>
          <w:iCs/>
          <w:sz w:val="24"/>
        </w:rPr>
        <w:lastRenderedPageBreak/>
        <w:t>Zmiana częstotliwości pomiaru wskaźnika</w:t>
      </w:r>
      <w:r w:rsidRPr="00420C8C">
        <w:rPr>
          <w:rFonts w:cs="Arial"/>
          <w:b/>
          <w:bCs/>
          <w:iCs/>
          <w:sz w:val="24"/>
        </w:rPr>
        <w:t xml:space="preserve">: </w:t>
      </w:r>
      <w:r w:rsidRPr="00420C8C">
        <w:rPr>
          <w:rFonts w:cs="Arial"/>
          <w:i/>
          <w:sz w:val="24"/>
        </w:rPr>
        <w:t>Liczba stanowisk w zakresie polityki rynku pracy i dostosowania do jego potrzeb systemów edukacji i</w:t>
      </w:r>
      <w:r>
        <w:rPr>
          <w:rFonts w:cs="Arial"/>
          <w:i/>
          <w:sz w:val="24"/>
        </w:rPr>
        <w:t> </w:t>
      </w:r>
      <w:r w:rsidRPr="00420C8C">
        <w:rPr>
          <w:rFonts w:cs="Arial"/>
          <w:i/>
          <w:sz w:val="24"/>
        </w:rPr>
        <w:t xml:space="preserve">szkolenia zgłaszanych przez przedstawicieli partnerów społecznych na forach instytucji dialogu społecznego: </w:t>
      </w:r>
    </w:p>
    <w:p w14:paraId="7433C3E1" w14:textId="77777777" w:rsidR="00732EE9" w:rsidRPr="00420C8C" w:rsidRDefault="00732EE9" w:rsidP="00732EE9">
      <w:pPr>
        <w:spacing w:before="60" w:after="60" w:line="360" w:lineRule="auto"/>
        <w:ind w:left="426"/>
        <w:rPr>
          <w:rFonts w:ascii="Arial" w:eastAsia="Times New Roman" w:hAnsi="Arial" w:cs="Arial"/>
          <w:i/>
          <w:sz w:val="24"/>
          <w:szCs w:val="24"/>
          <w:lang w:eastAsia="pl-PL"/>
        </w:rPr>
      </w:pPr>
      <w:r w:rsidRPr="00420C8C">
        <w:rPr>
          <w:rFonts w:ascii="Arial" w:eastAsia="Times New Roman" w:hAnsi="Arial" w:cs="Arial"/>
          <w:i/>
          <w:sz w:val="24"/>
          <w:szCs w:val="24"/>
          <w:lang w:eastAsia="pl-PL"/>
        </w:rPr>
        <w:t xml:space="preserve">a) krajowych – Rada Dialogu Społecznego, </w:t>
      </w:r>
    </w:p>
    <w:p w14:paraId="00EE7518" w14:textId="77777777" w:rsidR="00732EE9" w:rsidRPr="00420C8C" w:rsidRDefault="00732EE9" w:rsidP="00732EE9">
      <w:pPr>
        <w:spacing w:before="60" w:after="60" w:line="360" w:lineRule="auto"/>
        <w:ind w:left="426"/>
        <w:rPr>
          <w:rFonts w:ascii="Arial" w:eastAsia="Times New Roman" w:hAnsi="Arial" w:cs="Arial"/>
          <w:i/>
          <w:sz w:val="24"/>
          <w:szCs w:val="24"/>
          <w:lang w:eastAsia="pl-PL"/>
        </w:rPr>
      </w:pPr>
      <w:r w:rsidRPr="00420C8C">
        <w:rPr>
          <w:rFonts w:ascii="Arial" w:eastAsia="Times New Roman" w:hAnsi="Arial" w:cs="Arial"/>
          <w:i/>
          <w:sz w:val="24"/>
          <w:szCs w:val="24"/>
          <w:lang w:eastAsia="pl-PL"/>
        </w:rPr>
        <w:t xml:space="preserve">b) regionalnych – WRDS i Rady Rynku Pracy i </w:t>
      </w:r>
    </w:p>
    <w:p w14:paraId="570ED1FD" w14:textId="77777777" w:rsidR="00732EE9" w:rsidRPr="00420C8C" w:rsidRDefault="00732EE9" w:rsidP="00732EE9">
      <w:pPr>
        <w:spacing w:before="60" w:after="60" w:line="360" w:lineRule="auto"/>
        <w:ind w:left="426" w:firstLine="708"/>
        <w:rPr>
          <w:rFonts w:ascii="Arial" w:eastAsia="Times New Roman" w:hAnsi="Arial" w:cs="Arial"/>
          <w:i/>
          <w:sz w:val="24"/>
          <w:szCs w:val="24"/>
          <w:lang w:eastAsia="pl-PL"/>
        </w:rPr>
      </w:pPr>
      <w:r w:rsidRPr="00420C8C">
        <w:rPr>
          <w:rFonts w:ascii="Arial" w:eastAsia="Times New Roman" w:hAnsi="Arial" w:cs="Arial"/>
          <w:i/>
          <w:sz w:val="24"/>
          <w:szCs w:val="24"/>
          <w:lang w:eastAsia="pl-PL"/>
        </w:rPr>
        <w:t>c) lokalnych – Powiatowe Rady Rynku Pracy,</w:t>
      </w:r>
    </w:p>
    <w:p w14:paraId="6E9AC08F" w14:textId="77777777" w:rsidR="00732EE9" w:rsidRPr="00420C8C" w:rsidRDefault="00732EE9" w:rsidP="00732EE9">
      <w:pPr>
        <w:spacing w:before="60" w:after="60" w:line="360" w:lineRule="auto"/>
        <w:ind w:left="426" w:hanging="1"/>
        <w:rPr>
          <w:rFonts w:ascii="Arial" w:hAnsi="Arial" w:cs="Arial"/>
          <w:b/>
          <w:bCs/>
          <w:iCs/>
          <w:sz w:val="24"/>
          <w:szCs w:val="24"/>
          <w:highlight w:val="yellow"/>
        </w:rPr>
      </w:pPr>
      <w:r w:rsidRPr="00420C8C">
        <w:rPr>
          <w:rFonts w:ascii="Arial" w:eastAsia="Times New Roman" w:hAnsi="Arial" w:cs="Arial"/>
          <w:i/>
          <w:sz w:val="24"/>
          <w:szCs w:val="24"/>
          <w:lang w:eastAsia="pl-PL"/>
        </w:rPr>
        <w:t>w których wykorzystano wyniki badań i analiz dofinansowanych ze środków</w:t>
      </w:r>
      <w:r>
        <w:rPr>
          <w:rFonts w:ascii="Arial" w:eastAsia="Times New Roman" w:hAnsi="Arial" w:cs="Arial"/>
          <w:i/>
          <w:sz w:val="24"/>
          <w:szCs w:val="24"/>
          <w:lang w:eastAsia="pl-PL"/>
        </w:rPr>
        <w:t xml:space="preserve"> </w:t>
      </w:r>
      <w:r w:rsidRPr="00420C8C">
        <w:rPr>
          <w:rFonts w:ascii="Arial" w:eastAsia="Times New Roman" w:hAnsi="Arial" w:cs="Arial"/>
          <w:i/>
          <w:sz w:val="24"/>
          <w:szCs w:val="24"/>
          <w:lang w:eastAsia="pl-PL"/>
        </w:rPr>
        <w:t>EFS.</w:t>
      </w:r>
    </w:p>
    <w:p w14:paraId="41DA1799" w14:textId="77777777" w:rsidR="00732EE9" w:rsidRPr="00420C8C" w:rsidDel="007739D4" w:rsidRDefault="00732EE9" w:rsidP="00732EE9">
      <w:pPr>
        <w:spacing w:before="60" w:after="60" w:line="360" w:lineRule="auto"/>
        <w:ind w:left="426"/>
        <w:rPr>
          <w:rFonts w:ascii="Arial" w:hAnsi="Arial" w:cs="Arial"/>
          <w:b/>
          <w:bCs/>
          <w:iCs/>
          <w:sz w:val="24"/>
          <w:szCs w:val="24"/>
        </w:rPr>
      </w:pPr>
      <w:r w:rsidRPr="00420C8C">
        <w:rPr>
          <w:rFonts w:ascii="Arial" w:hAnsi="Arial" w:cs="Arial"/>
          <w:b/>
          <w:bCs/>
          <w:iCs/>
          <w:sz w:val="24"/>
          <w:szCs w:val="24"/>
        </w:rPr>
        <w:t xml:space="preserve">Uzasadnienie: </w:t>
      </w:r>
      <w:r w:rsidRPr="00420C8C">
        <w:rPr>
          <w:rFonts w:ascii="Arial" w:hAnsi="Arial" w:cs="Arial"/>
          <w:iCs/>
          <w:sz w:val="24"/>
          <w:szCs w:val="24"/>
        </w:rPr>
        <w:t>Obecne ramy czasowe nie pozwalają na przeprowadzenie dwóch edycji badania. Wskaźnik zmierzony tylko raz, na koniec wdrażania obecnej perspektywy finansowej.</w:t>
      </w:r>
    </w:p>
    <w:p w14:paraId="66C826EA" w14:textId="77777777" w:rsidR="00732EE9" w:rsidRPr="00420C8C" w:rsidRDefault="00732EE9" w:rsidP="00732EE9">
      <w:pPr>
        <w:shd w:val="clear" w:color="auto" w:fill="D9D9D9" w:themeFill="background1" w:themeFillShade="D9"/>
        <w:spacing w:before="60" w:after="60" w:line="360" w:lineRule="auto"/>
        <w:rPr>
          <w:rFonts w:ascii="Arial" w:hAnsi="Arial" w:cs="Arial"/>
          <w:b/>
          <w:bCs/>
          <w:iCs/>
          <w:sz w:val="24"/>
          <w:szCs w:val="24"/>
        </w:rPr>
      </w:pPr>
      <w:r w:rsidRPr="00420C8C">
        <w:rPr>
          <w:rFonts w:ascii="Arial" w:hAnsi="Arial" w:cs="Arial"/>
          <w:b/>
          <w:bCs/>
          <w:iCs/>
          <w:sz w:val="24"/>
          <w:szCs w:val="24"/>
        </w:rPr>
        <w:t>Oś Priorytetowa III</w:t>
      </w:r>
    </w:p>
    <w:p w14:paraId="2789D326" w14:textId="77777777" w:rsidR="00732EE9" w:rsidRPr="00420C8C" w:rsidRDefault="00732EE9" w:rsidP="00732EE9">
      <w:pPr>
        <w:spacing w:before="60" w:after="60" w:line="360" w:lineRule="auto"/>
        <w:rPr>
          <w:rFonts w:ascii="Arial" w:hAnsi="Arial" w:cs="Arial"/>
          <w:b/>
          <w:bCs/>
          <w:iCs/>
          <w:sz w:val="24"/>
          <w:szCs w:val="24"/>
          <w:u w:val="single"/>
        </w:rPr>
      </w:pPr>
      <w:r w:rsidRPr="00420C8C">
        <w:rPr>
          <w:rFonts w:ascii="Arial" w:hAnsi="Arial" w:cs="Arial"/>
          <w:b/>
          <w:bCs/>
          <w:iCs/>
          <w:sz w:val="24"/>
          <w:szCs w:val="24"/>
          <w:u w:val="single"/>
        </w:rPr>
        <w:t>Priorytet inwestycyjny 8v</w:t>
      </w:r>
    </w:p>
    <w:p w14:paraId="6D76211C" w14:textId="77777777" w:rsidR="00732EE9" w:rsidRPr="00420C8C" w:rsidRDefault="00732EE9" w:rsidP="00732EE9">
      <w:pPr>
        <w:pStyle w:val="Akapitzlist"/>
        <w:numPr>
          <w:ilvl w:val="0"/>
          <w:numId w:val="20"/>
        </w:numPr>
        <w:spacing w:before="60" w:after="60"/>
        <w:ind w:left="426"/>
        <w:contextualSpacing w:val="0"/>
        <w:jc w:val="left"/>
        <w:rPr>
          <w:rFonts w:cs="Arial"/>
          <w:b/>
          <w:bCs/>
          <w:iCs/>
          <w:sz w:val="24"/>
        </w:rPr>
      </w:pPr>
      <w:r w:rsidRPr="00420C8C">
        <w:rPr>
          <w:rFonts w:cs="Arial"/>
          <w:iCs/>
          <w:sz w:val="24"/>
        </w:rPr>
        <w:t xml:space="preserve">Obniżenie wartości wskaźników produktu i rezultatu w osi III dot. pracowników zagrożonych zwolnieniem z pracy oraz osób zwolnionych z przyczyn dotyczących zakładu pracy objętych wsparciem w programie (produktu z 3330 na 110; rezultatu z 1655 do 55). </w:t>
      </w:r>
    </w:p>
    <w:p w14:paraId="67E113E0" w14:textId="69C4ECAF" w:rsidR="00732EE9" w:rsidRPr="00420C8C" w:rsidRDefault="00732EE9" w:rsidP="00732EE9">
      <w:pPr>
        <w:spacing w:before="60" w:after="60" w:line="360" w:lineRule="auto"/>
        <w:ind w:left="426"/>
        <w:rPr>
          <w:rFonts w:ascii="Arial" w:hAnsi="Arial" w:cs="Arial"/>
          <w:iCs/>
          <w:sz w:val="24"/>
          <w:szCs w:val="24"/>
        </w:rPr>
      </w:pPr>
      <w:r w:rsidRPr="00420C8C">
        <w:rPr>
          <w:rFonts w:ascii="Arial" w:hAnsi="Arial" w:cs="Arial"/>
          <w:b/>
          <w:bCs/>
          <w:iCs/>
          <w:sz w:val="24"/>
          <w:szCs w:val="24"/>
        </w:rPr>
        <w:t>Uzasadnienie</w:t>
      </w:r>
      <w:r w:rsidRPr="00420C8C">
        <w:rPr>
          <w:rFonts w:ascii="Arial" w:hAnsi="Arial" w:cs="Arial"/>
          <w:iCs/>
          <w:sz w:val="24"/>
          <w:szCs w:val="24"/>
        </w:rPr>
        <w:t>: Planowane wsparcie miało być komplementarne do projektu dot. konsolidacji uczelni. W związku z niskim zainteresowaniem uczelni proponowanym działaniem, związanym z sytuacją epidemiczną ograniczającą możliwość realizacji zadań przewidzianych w tego typu projektach, tj. przygotowania i przeprowadzenia szkoleń dla pracowników uczelni, ostatecznie w ramach naboru ofert wpłynęła tylko jedna oferta od Uniwersytetu Zielonogórskiego. W efekcie zdecydowano o obniżeniu wartości dofinansowania projektu</w:t>
      </w:r>
      <w:r w:rsidR="00B47C25">
        <w:rPr>
          <w:rFonts w:ascii="Arial" w:hAnsi="Arial" w:cs="Arial"/>
          <w:iCs/>
          <w:sz w:val="24"/>
          <w:szCs w:val="24"/>
        </w:rPr>
        <w:t xml:space="preserve"> </w:t>
      </w:r>
      <w:r w:rsidRPr="00420C8C">
        <w:rPr>
          <w:rFonts w:ascii="Arial" w:hAnsi="Arial" w:cs="Arial"/>
          <w:iCs/>
          <w:sz w:val="24"/>
          <w:szCs w:val="24"/>
        </w:rPr>
        <w:t>z jednoczesnym obniżeniem wartości wskaźników.</w:t>
      </w:r>
    </w:p>
    <w:p w14:paraId="40C45702" w14:textId="77777777" w:rsidR="00732EE9" w:rsidRPr="00420C8C" w:rsidRDefault="00732EE9" w:rsidP="00732EE9">
      <w:pPr>
        <w:spacing w:before="60" w:after="60" w:line="360" w:lineRule="auto"/>
        <w:rPr>
          <w:rFonts w:ascii="Arial" w:hAnsi="Arial" w:cs="Arial"/>
          <w:b/>
          <w:bCs/>
          <w:iCs/>
          <w:sz w:val="24"/>
          <w:szCs w:val="24"/>
          <w:u w:val="single"/>
        </w:rPr>
      </w:pPr>
      <w:r w:rsidRPr="00420C8C">
        <w:rPr>
          <w:rFonts w:ascii="Arial" w:hAnsi="Arial" w:cs="Arial"/>
          <w:b/>
          <w:bCs/>
          <w:iCs/>
          <w:sz w:val="24"/>
          <w:szCs w:val="24"/>
          <w:u w:val="single"/>
        </w:rPr>
        <w:t>Priorytet inwestycyjny 10ii</w:t>
      </w:r>
    </w:p>
    <w:p w14:paraId="474AD160" w14:textId="58F761BC" w:rsidR="00732EE9" w:rsidRPr="00420C8C" w:rsidRDefault="00732EE9" w:rsidP="00732EE9">
      <w:pPr>
        <w:pStyle w:val="Akapitzlist"/>
        <w:numPr>
          <w:ilvl w:val="0"/>
          <w:numId w:val="20"/>
        </w:numPr>
        <w:spacing w:before="60" w:after="60"/>
        <w:ind w:left="426"/>
        <w:contextualSpacing w:val="0"/>
        <w:jc w:val="left"/>
        <w:rPr>
          <w:rFonts w:cs="Arial"/>
          <w:iCs/>
          <w:sz w:val="24"/>
        </w:rPr>
      </w:pPr>
      <w:r w:rsidRPr="00420C8C">
        <w:rPr>
          <w:rFonts w:cs="Arial"/>
          <w:iCs/>
          <w:sz w:val="24"/>
        </w:rPr>
        <w:t>Obniżenie wartości wskaźników produktu i rezultatu dot. uczelni objętych wsparciem EFS w procesie tworzenia związków międzyuczelnianych lub w</w:t>
      </w:r>
      <w:r>
        <w:rPr>
          <w:rFonts w:cs="Arial"/>
          <w:iCs/>
          <w:sz w:val="24"/>
        </w:rPr>
        <w:t> </w:t>
      </w:r>
      <w:r w:rsidRPr="00420C8C">
        <w:rPr>
          <w:rFonts w:cs="Arial"/>
          <w:iCs/>
          <w:sz w:val="24"/>
        </w:rPr>
        <w:t xml:space="preserve">procesie konsolidacji (produktu z 30 do 16; rezultatu z 15 do 7). </w:t>
      </w:r>
    </w:p>
    <w:p w14:paraId="1C4F2E10" w14:textId="2FD4567F" w:rsidR="00732EE9" w:rsidRPr="00420C8C" w:rsidRDefault="00732EE9" w:rsidP="00732EE9">
      <w:pPr>
        <w:pStyle w:val="Akapitzlist"/>
        <w:spacing w:before="60" w:after="60"/>
        <w:ind w:left="426"/>
        <w:contextualSpacing w:val="0"/>
        <w:jc w:val="left"/>
        <w:rPr>
          <w:rFonts w:cs="Arial"/>
          <w:iCs/>
          <w:sz w:val="24"/>
        </w:rPr>
      </w:pPr>
      <w:r w:rsidRPr="00420C8C">
        <w:rPr>
          <w:rFonts w:cs="Arial"/>
          <w:b/>
          <w:bCs/>
          <w:iCs/>
          <w:sz w:val="24"/>
        </w:rPr>
        <w:t>Uzasadnienie:</w:t>
      </w:r>
      <w:r w:rsidRPr="00420C8C">
        <w:rPr>
          <w:rFonts w:cs="Arial"/>
          <w:iCs/>
          <w:sz w:val="24"/>
        </w:rPr>
        <w:t xml:space="preserve"> Zmiany w zakresie konsolidacji uczelni są procesami trudnymi i długotrwałymi. W związku z niższym niż oczekiwano zainteresowaniem uczelni </w:t>
      </w:r>
      <w:r w:rsidRPr="00420C8C">
        <w:rPr>
          <w:rFonts w:cs="Arial"/>
          <w:iCs/>
          <w:sz w:val="24"/>
        </w:rPr>
        <w:lastRenderedPageBreak/>
        <w:t xml:space="preserve">spowodowanym m.in. sytuacją pandemiczną związaną z Covid-19, założona wartość wskaźników nie zostanie osiągnięta. </w:t>
      </w:r>
    </w:p>
    <w:p w14:paraId="24A6DBA7" w14:textId="77777777" w:rsidR="00732EE9" w:rsidRPr="00420C8C" w:rsidRDefault="00732EE9" w:rsidP="00732EE9">
      <w:pPr>
        <w:pStyle w:val="Akapitzlist"/>
        <w:numPr>
          <w:ilvl w:val="0"/>
          <w:numId w:val="20"/>
        </w:numPr>
        <w:spacing w:before="60" w:after="60"/>
        <w:ind w:left="426"/>
        <w:contextualSpacing w:val="0"/>
        <w:jc w:val="left"/>
        <w:rPr>
          <w:rFonts w:cs="Arial"/>
          <w:iCs/>
          <w:sz w:val="24"/>
        </w:rPr>
      </w:pPr>
      <w:r w:rsidRPr="00420C8C">
        <w:rPr>
          <w:rFonts w:cs="Arial"/>
          <w:iCs/>
          <w:sz w:val="24"/>
        </w:rPr>
        <w:t>W grupie docelowej projektów realizowanych w osi III uwzględniono osoby, którym udzielono ochrony czasowej w związku z wojną w Ukrainie, co znalazło również odzwierciedlenie we wskaźnikach produktu. Ta grupa docelowa może uczestniczyć w projektach konkursowych realizowanych przez różne podmioty, w szczególności uczelnie.</w:t>
      </w:r>
    </w:p>
    <w:p w14:paraId="30456638" w14:textId="77777777" w:rsidR="00732EE9" w:rsidRPr="00420C8C" w:rsidRDefault="00732EE9" w:rsidP="00732EE9">
      <w:pPr>
        <w:shd w:val="clear" w:color="auto" w:fill="D9D9D9" w:themeFill="background1" w:themeFillShade="D9"/>
        <w:spacing w:before="60" w:after="60" w:line="360" w:lineRule="auto"/>
        <w:rPr>
          <w:rFonts w:ascii="Arial" w:hAnsi="Arial" w:cs="Arial"/>
          <w:b/>
          <w:bCs/>
          <w:iCs/>
          <w:sz w:val="24"/>
          <w:szCs w:val="24"/>
        </w:rPr>
      </w:pPr>
      <w:r w:rsidRPr="00420C8C">
        <w:rPr>
          <w:rFonts w:ascii="Arial" w:hAnsi="Arial" w:cs="Arial"/>
          <w:b/>
          <w:bCs/>
          <w:iCs/>
          <w:sz w:val="24"/>
          <w:szCs w:val="24"/>
        </w:rPr>
        <w:t>Oś Priorytetowa VII</w:t>
      </w:r>
    </w:p>
    <w:p w14:paraId="716F2FEF" w14:textId="77777777" w:rsidR="00732EE9" w:rsidRPr="00420C8C" w:rsidRDefault="00732EE9" w:rsidP="00732EE9">
      <w:pPr>
        <w:pStyle w:val="Akapitzlist"/>
        <w:numPr>
          <w:ilvl w:val="0"/>
          <w:numId w:val="20"/>
        </w:numPr>
        <w:spacing w:before="60" w:after="60"/>
        <w:ind w:left="426"/>
        <w:contextualSpacing w:val="0"/>
        <w:jc w:val="left"/>
        <w:rPr>
          <w:rFonts w:cs="Arial"/>
          <w:sz w:val="24"/>
        </w:rPr>
      </w:pPr>
      <w:r w:rsidRPr="00420C8C">
        <w:rPr>
          <w:rFonts w:cs="Arial"/>
          <w:sz w:val="24"/>
        </w:rPr>
        <w:t xml:space="preserve">Rozszerzono zakres merytoryczny  osi priorytetowej VII </w:t>
      </w:r>
      <w:r w:rsidRPr="00420C8C">
        <w:rPr>
          <w:rFonts w:cs="Arial"/>
          <w:i/>
          <w:iCs/>
          <w:sz w:val="24"/>
        </w:rPr>
        <w:t>Wsparcie REACT-EU dla obszaru zdrowia</w:t>
      </w:r>
      <w:r w:rsidRPr="00420C8C">
        <w:rPr>
          <w:rFonts w:cs="Arial"/>
          <w:sz w:val="24"/>
        </w:rPr>
        <w:t xml:space="preserve"> o działania na rzecz wsparcia systemu ochrony zdrowia w</w:t>
      </w:r>
      <w:r>
        <w:rPr>
          <w:rFonts w:cs="Arial"/>
          <w:sz w:val="24"/>
        </w:rPr>
        <w:t> </w:t>
      </w:r>
      <w:r w:rsidRPr="00420C8C">
        <w:rPr>
          <w:rFonts w:cs="Arial"/>
          <w:sz w:val="24"/>
        </w:rPr>
        <w:t>związku ze skutkami wojny w Ukrainie oraz wsparcia osób przybywających do Polski w związku z wystąpieniem skutków tego kryzysu (dodano nowy cel szczegółowy, typ operacji oraz adekwatne wskaźniki, typy beneficjentów i</w:t>
      </w:r>
      <w:r>
        <w:rPr>
          <w:rFonts w:cs="Arial"/>
          <w:sz w:val="24"/>
        </w:rPr>
        <w:t> </w:t>
      </w:r>
      <w:r w:rsidRPr="00420C8C">
        <w:rPr>
          <w:rFonts w:cs="Arial"/>
          <w:sz w:val="24"/>
        </w:rPr>
        <w:t xml:space="preserve">grupy docelowe). </w:t>
      </w:r>
    </w:p>
    <w:p w14:paraId="518EC980" w14:textId="77777777" w:rsidR="00732EE9" w:rsidRPr="00420C8C" w:rsidRDefault="00732EE9" w:rsidP="00732EE9">
      <w:pPr>
        <w:pStyle w:val="Akapitzlist"/>
        <w:numPr>
          <w:ilvl w:val="0"/>
          <w:numId w:val="20"/>
        </w:numPr>
        <w:spacing w:before="60" w:after="60"/>
        <w:ind w:left="426"/>
        <w:contextualSpacing w:val="0"/>
        <w:jc w:val="left"/>
        <w:rPr>
          <w:rFonts w:cs="Arial"/>
          <w:sz w:val="24"/>
        </w:rPr>
      </w:pPr>
      <w:r w:rsidRPr="00420C8C">
        <w:rPr>
          <w:rFonts w:cs="Arial"/>
          <w:sz w:val="24"/>
        </w:rPr>
        <w:t xml:space="preserve">Ponadto w związku z rezygnacją Beneficjenta z realizacji projektu dot. podnoszenia kompetencji fizyków medycznych, techników </w:t>
      </w:r>
      <w:proofErr w:type="spellStart"/>
      <w:r w:rsidRPr="00420C8C">
        <w:rPr>
          <w:rFonts w:cs="Arial"/>
          <w:sz w:val="24"/>
        </w:rPr>
        <w:t>elektroradiologii</w:t>
      </w:r>
      <w:proofErr w:type="spellEnd"/>
      <w:r w:rsidRPr="00420C8C">
        <w:rPr>
          <w:rFonts w:cs="Arial"/>
          <w:sz w:val="24"/>
        </w:rPr>
        <w:t xml:space="preserve"> oraz lekarzy specjalistów w dziedzinie radioterapii onkologicznej, wykreślono ten projekt z PO WER, a alokacja zostanie przeniesiona na działania zaplanowane w związku z napływem osób z Ukrainy w związku z wojną w tym kraju.</w:t>
      </w:r>
    </w:p>
    <w:p w14:paraId="6DD52012" w14:textId="77777777" w:rsidR="00732EE9" w:rsidRPr="00420C8C" w:rsidRDefault="00732EE9" w:rsidP="00732EE9">
      <w:pPr>
        <w:pStyle w:val="Akapitzlist"/>
        <w:numPr>
          <w:ilvl w:val="0"/>
          <w:numId w:val="20"/>
        </w:numPr>
        <w:spacing w:before="60" w:after="60"/>
        <w:ind w:left="426"/>
        <w:contextualSpacing w:val="0"/>
        <w:jc w:val="left"/>
        <w:rPr>
          <w:rFonts w:cs="Arial"/>
          <w:sz w:val="24"/>
        </w:rPr>
      </w:pPr>
      <w:r w:rsidRPr="00420C8C">
        <w:rPr>
          <w:rFonts w:cs="Arial"/>
          <w:sz w:val="24"/>
        </w:rPr>
        <w:t>Dodatkowo, w projekcie mającym na celu umożliwienie wsparcia psychologicznego w postaci interwencji kryzysowej dodano możliwość realizacji komponentu dot. kursów i szkoleń podnoszących kwalifikacje kadry medycznej (w tym pochodzenia ukraińskiego) z obszaru opieki psychiatrycznej.</w:t>
      </w:r>
    </w:p>
    <w:p w14:paraId="243C33F3" w14:textId="77777777" w:rsidR="00732EE9" w:rsidRPr="00420C8C" w:rsidRDefault="00732EE9" w:rsidP="00732EE9">
      <w:pPr>
        <w:spacing w:before="60" w:after="60" w:line="360" w:lineRule="auto"/>
        <w:rPr>
          <w:rFonts w:ascii="Arial" w:hAnsi="Arial" w:cs="Arial"/>
          <w:sz w:val="24"/>
          <w:szCs w:val="24"/>
        </w:rPr>
      </w:pPr>
      <w:r w:rsidRPr="00420C8C">
        <w:rPr>
          <w:rFonts w:ascii="Arial" w:hAnsi="Arial" w:cs="Arial"/>
          <w:b/>
          <w:sz w:val="24"/>
          <w:szCs w:val="24"/>
        </w:rPr>
        <w:t xml:space="preserve">Uzasadnienie: </w:t>
      </w:r>
      <w:r w:rsidRPr="00420C8C">
        <w:rPr>
          <w:rFonts w:ascii="Arial" w:hAnsi="Arial" w:cs="Arial"/>
          <w:sz w:val="24"/>
          <w:szCs w:val="24"/>
        </w:rPr>
        <w:t xml:space="preserve"> Nowe działania wprowadzono w celu przeciwdziałania skutkom kryzysu wywołanego konfliktem zbrojnym na terytorium Ukrainy poprzez działania podejmowane w obszarze zdrowia.</w:t>
      </w:r>
    </w:p>
    <w:p w14:paraId="34A1A9D9" w14:textId="77777777" w:rsidR="00732EE9" w:rsidRPr="000D4EC3" w:rsidRDefault="00732EE9" w:rsidP="00732EE9">
      <w:pPr>
        <w:shd w:val="clear" w:color="auto" w:fill="D9D9D9" w:themeFill="background1" w:themeFillShade="D9"/>
        <w:spacing w:before="60" w:after="60" w:line="360" w:lineRule="auto"/>
        <w:rPr>
          <w:rFonts w:ascii="Arial" w:hAnsi="Arial" w:cs="Arial"/>
          <w:b/>
          <w:bCs/>
          <w:iCs/>
          <w:sz w:val="24"/>
          <w:szCs w:val="24"/>
        </w:rPr>
      </w:pPr>
      <w:r w:rsidRPr="000D4EC3">
        <w:rPr>
          <w:rFonts w:ascii="Arial" w:hAnsi="Arial" w:cs="Arial"/>
          <w:b/>
          <w:bCs/>
          <w:iCs/>
          <w:sz w:val="24"/>
          <w:szCs w:val="24"/>
        </w:rPr>
        <w:t>Sekcja 3. Plan finansowy programu</w:t>
      </w:r>
    </w:p>
    <w:p w14:paraId="38FDC8FE" w14:textId="77777777" w:rsidR="00732EE9" w:rsidRDefault="00732EE9" w:rsidP="00732EE9">
      <w:pPr>
        <w:spacing w:before="60" w:after="60" w:line="360" w:lineRule="auto"/>
        <w:rPr>
          <w:rFonts w:ascii="Arial" w:hAnsi="Arial" w:cs="Arial"/>
          <w:sz w:val="24"/>
          <w:szCs w:val="24"/>
        </w:rPr>
      </w:pPr>
      <w:r w:rsidRPr="00F11842">
        <w:rPr>
          <w:rFonts w:ascii="Arial" w:hAnsi="Arial" w:cs="Arial"/>
          <w:sz w:val="24"/>
          <w:szCs w:val="24"/>
        </w:rPr>
        <w:t xml:space="preserve">W tabelach finansowych PO WER dokonano </w:t>
      </w:r>
      <w:r>
        <w:rPr>
          <w:rFonts w:ascii="Arial" w:hAnsi="Arial" w:cs="Arial"/>
          <w:sz w:val="24"/>
          <w:szCs w:val="24"/>
        </w:rPr>
        <w:t xml:space="preserve">poniżej wskazanych </w:t>
      </w:r>
      <w:r w:rsidRPr="00F11842">
        <w:rPr>
          <w:rFonts w:ascii="Arial" w:hAnsi="Arial" w:cs="Arial"/>
          <w:sz w:val="24"/>
          <w:szCs w:val="24"/>
        </w:rPr>
        <w:t>realokacj</w:t>
      </w:r>
      <w:r>
        <w:rPr>
          <w:rFonts w:ascii="Arial" w:hAnsi="Arial" w:cs="Arial"/>
          <w:sz w:val="24"/>
          <w:szCs w:val="24"/>
        </w:rPr>
        <w:t>i, które</w:t>
      </w:r>
      <w:r w:rsidRPr="00F11842">
        <w:rPr>
          <w:rFonts w:ascii="Arial" w:hAnsi="Arial" w:cs="Arial"/>
          <w:sz w:val="24"/>
          <w:szCs w:val="24"/>
        </w:rPr>
        <w:t xml:space="preserve"> podyktowane są potrzebą zabezpieczenia finansowania wsparcia dedykowanego przedsięwzięciom wynikającym z niwelowania skutków agresji na terytorium Ukrainy</w:t>
      </w:r>
      <w:r>
        <w:rPr>
          <w:rFonts w:ascii="Arial" w:hAnsi="Arial" w:cs="Arial"/>
          <w:sz w:val="24"/>
          <w:szCs w:val="24"/>
        </w:rPr>
        <w:t>.</w:t>
      </w:r>
    </w:p>
    <w:tbl>
      <w:tblPr>
        <w:tblW w:w="9552" w:type="dxa"/>
        <w:tblInd w:w="80" w:type="dxa"/>
        <w:tblCellMar>
          <w:left w:w="70" w:type="dxa"/>
          <w:right w:w="70" w:type="dxa"/>
        </w:tblCellMar>
        <w:tblLook w:val="04A0" w:firstRow="1" w:lastRow="0" w:firstColumn="1" w:lastColumn="0" w:noHBand="0" w:noVBand="1"/>
      </w:tblPr>
      <w:tblGrid>
        <w:gridCol w:w="1760"/>
        <w:gridCol w:w="1300"/>
        <w:gridCol w:w="1116"/>
        <w:gridCol w:w="1047"/>
        <w:gridCol w:w="1119"/>
        <w:gridCol w:w="1047"/>
        <w:gridCol w:w="1116"/>
        <w:gridCol w:w="1047"/>
      </w:tblGrid>
      <w:tr w:rsidR="00732EE9" w:rsidRPr="00F11842" w14:paraId="46B9EEC0" w14:textId="77777777" w:rsidTr="009A0E84">
        <w:trPr>
          <w:trHeight w:val="600"/>
        </w:trPr>
        <w:tc>
          <w:tcPr>
            <w:tcW w:w="1760" w:type="dxa"/>
            <w:vMerge w:val="restart"/>
            <w:tcBorders>
              <w:top w:val="single" w:sz="8" w:space="0" w:color="auto"/>
              <w:left w:val="single" w:sz="8" w:space="0" w:color="auto"/>
              <w:bottom w:val="single" w:sz="8" w:space="0" w:color="000000"/>
              <w:right w:val="single" w:sz="8" w:space="0" w:color="auto"/>
            </w:tcBorders>
            <w:shd w:val="clear" w:color="000000" w:fill="C65911"/>
            <w:vAlign w:val="center"/>
            <w:hideMark/>
          </w:tcPr>
          <w:p w14:paraId="7B1485F9"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Priorytet inwestycyjny</w:t>
            </w:r>
          </w:p>
        </w:tc>
        <w:tc>
          <w:tcPr>
            <w:tcW w:w="1300" w:type="dxa"/>
            <w:vMerge w:val="restart"/>
            <w:tcBorders>
              <w:top w:val="single" w:sz="8" w:space="0" w:color="auto"/>
              <w:left w:val="nil"/>
              <w:bottom w:val="single" w:sz="8" w:space="0" w:color="000000"/>
              <w:right w:val="single" w:sz="8" w:space="0" w:color="auto"/>
            </w:tcBorders>
            <w:shd w:val="clear" w:color="000000" w:fill="C65911"/>
            <w:vAlign w:val="center"/>
            <w:hideMark/>
          </w:tcPr>
          <w:p w14:paraId="5D648928"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Oś priorytetowa</w:t>
            </w:r>
          </w:p>
        </w:tc>
        <w:tc>
          <w:tcPr>
            <w:tcW w:w="2163" w:type="dxa"/>
            <w:gridSpan w:val="2"/>
            <w:tcBorders>
              <w:top w:val="single" w:sz="8" w:space="0" w:color="auto"/>
              <w:left w:val="nil"/>
              <w:bottom w:val="single" w:sz="4" w:space="0" w:color="auto"/>
              <w:right w:val="single" w:sz="8" w:space="0" w:color="000000"/>
            </w:tcBorders>
            <w:shd w:val="clear" w:color="000000" w:fill="C65911"/>
            <w:noWrap/>
            <w:vAlign w:val="center"/>
            <w:hideMark/>
          </w:tcPr>
          <w:p w14:paraId="74EEAC5A"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Całość alokacji [EUR]</w:t>
            </w:r>
          </w:p>
        </w:tc>
        <w:tc>
          <w:tcPr>
            <w:tcW w:w="2166" w:type="dxa"/>
            <w:gridSpan w:val="2"/>
            <w:tcBorders>
              <w:top w:val="single" w:sz="8" w:space="0" w:color="auto"/>
              <w:left w:val="nil"/>
              <w:bottom w:val="single" w:sz="4" w:space="0" w:color="auto"/>
              <w:right w:val="single" w:sz="8" w:space="0" w:color="000000"/>
            </w:tcBorders>
            <w:shd w:val="clear" w:color="000000" w:fill="C65911"/>
            <w:vAlign w:val="center"/>
            <w:hideMark/>
          </w:tcPr>
          <w:p w14:paraId="0356FD53"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 xml:space="preserve">Alokacja </w:t>
            </w:r>
            <w:r w:rsidRPr="00F11842">
              <w:rPr>
                <w:rFonts w:eastAsia="Times New Roman" w:cs="Calibri"/>
                <w:b/>
                <w:bCs/>
                <w:color w:val="FFFFFF"/>
                <w:sz w:val="18"/>
                <w:szCs w:val="18"/>
                <w:lang w:eastAsia="pl-PL"/>
              </w:rPr>
              <w:br/>
              <w:t>- wkład UE [EUR]</w:t>
            </w:r>
          </w:p>
        </w:tc>
        <w:tc>
          <w:tcPr>
            <w:tcW w:w="2163" w:type="dxa"/>
            <w:gridSpan w:val="2"/>
            <w:tcBorders>
              <w:top w:val="single" w:sz="8" w:space="0" w:color="auto"/>
              <w:left w:val="nil"/>
              <w:bottom w:val="single" w:sz="4" w:space="0" w:color="auto"/>
              <w:right w:val="single" w:sz="8" w:space="0" w:color="000000"/>
            </w:tcBorders>
            <w:shd w:val="clear" w:color="000000" w:fill="C65911"/>
            <w:vAlign w:val="center"/>
            <w:hideMark/>
          </w:tcPr>
          <w:p w14:paraId="3B40F9BF"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 xml:space="preserve">Alokacja </w:t>
            </w:r>
            <w:r w:rsidRPr="00F11842">
              <w:rPr>
                <w:rFonts w:eastAsia="Times New Roman" w:cs="Calibri"/>
                <w:b/>
                <w:bCs/>
                <w:color w:val="FFFFFF"/>
                <w:sz w:val="18"/>
                <w:szCs w:val="18"/>
                <w:lang w:eastAsia="pl-PL"/>
              </w:rPr>
              <w:br/>
              <w:t>- wkład krajowy [EUR]</w:t>
            </w:r>
          </w:p>
        </w:tc>
      </w:tr>
      <w:tr w:rsidR="00732EE9" w:rsidRPr="00F11842" w14:paraId="6CCD26B2" w14:textId="77777777" w:rsidTr="009A0E84">
        <w:trPr>
          <w:trHeight w:val="252"/>
        </w:trPr>
        <w:tc>
          <w:tcPr>
            <w:tcW w:w="1760" w:type="dxa"/>
            <w:vMerge/>
            <w:tcBorders>
              <w:top w:val="single" w:sz="8" w:space="0" w:color="auto"/>
              <w:left w:val="single" w:sz="8" w:space="0" w:color="auto"/>
              <w:bottom w:val="single" w:sz="8" w:space="0" w:color="000000"/>
              <w:right w:val="single" w:sz="8" w:space="0" w:color="auto"/>
            </w:tcBorders>
            <w:vAlign w:val="center"/>
            <w:hideMark/>
          </w:tcPr>
          <w:p w14:paraId="660917D6" w14:textId="77777777" w:rsidR="00732EE9" w:rsidRPr="00F11842" w:rsidRDefault="00732EE9" w:rsidP="00732EE9">
            <w:pPr>
              <w:spacing w:before="60" w:after="60" w:line="360" w:lineRule="auto"/>
              <w:rPr>
                <w:rFonts w:eastAsia="Times New Roman" w:cs="Calibri"/>
                <w:b/>
                <w:bCs/>
                <w:color w:val="FFFFFF"/>
                <w:sz w:val="18"/>
                <w:szCs w:val="18"/>
                <w:lang w:eastAsia="pl-PL"/>
              </w:rPr>
            </w:pPr>
          </w:p>
        </w:tc>
        <w:tc>
          <w:tcPr>
            <w:tcW w:w="1300" w:type="dxa"/>
            <w:vMerge/>
            <w:tcBorders>
              <w:top w:val="single" w:sz="8" w:space="0" w:color="auto"/>
              <w:left w:val="nil"/>
              <w:bottom w:val="single" w:sz="8" w:space="0" w:color="000000"/>
              <w:right w:val="single" w:sz="8" w:space="0" w:color="auto"/>
            </w:tcBorders>
            <w:vAlign w:val="center"/>
            <w:hideMark/>
          </w:tcPr>
          <w:p w14:paraId="05E44FA7" w14:textId="77777777" w:rsidR="00732EE9" w:rsidRPr="00F11842" w:rsidRDefault="00732EE9" w:rsidP="00732EE9">
            <w:pPr>
              <w:spacing w:before="60" w:after="60" w:line="360" w:lineRule="auto"/>
              <w:rPr>
                <w:rFonts w:eastAsia="Times New Roman" w:cs="Calibri"/>
                <w:b/>
                <w:bCs/>
                <w:color w:val="FFFFFF"/>
                <w:sz w:val="18"/>
                <w:szCs w:val="18"/>
                <w:lang w:eastAsia="pl-PL"/>
              </w:rPr>
            </w:pPr>
          </w:p>
        </w:tc>
        <w:tc>
          <w:tcPr>
            <w:tcW w:w="1116" w:type="dxa"/>
            <w:tcBorders>
              <w:top w:val="nil"/>
              <w:left w:val="nil"/>
              <w:bottom w:val="single" w:sz="8" w:space="0" w:color="auto"/>
              <w:right w:val="single" w:sz="4" w:space="0" w:color="auto"/>
            </w:tcBorders>
            <w:shd w:val="clear" w:color="000000" w:fill="C65911"/>
            <w:noWrap/>
            <w:vAlign w:val="center"/>
            <w:hideMark/>
          </w:tcPr>
          <w:p w14:paraId="22D06428"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Zmniejszenie</w:t>
            </w:r>
          </w:p>
        </w:tc>
        <w:tc>
          <w:tcPr>
            <w:tcW w:w="1047" w:type="dxa"/>
            <w:tcBorders>
              <w:top w:val="nil"/>
              <w:left w:val="nil"/>
              <w:bottom w:val="single" w:sz="8" w:space="0" w:color="auto"/>
              <w:right w:val="single" w:sz="4" w:space="0" w:color="auto"/>
            </w:tcBorders>
            <w:shd w:val="clear" w:color="000000" w:fill="C65911"/>
            <w:noWrap/>
            <w:vAlign w:val="center"/>
            <w:hideMark/>
          </w:tcPr>
          <w:p w14:paraId="2F9F05A2"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Zwiększenie</w:t>
            </w:r>
          </w:p>
        </w:tc>
        <w:tc>
          <w:tcPr>
            <w:tcW w:w="1119" w:type="dxa"/>
            <w:tcBorders>
              <w:top w:val="nil"/>
              <w:left w:val="nil"/>
              <w:bottom w:val="single" w:sz="8" w:space="0" w:color="auto"/>
              <w:right w:val="single" w:sz="4" w:space="0" w:color="auto"/>
            </w:tcBorders>
            <w:shd w:val="clear" w:color="000000" w:fill="C65911"/>
            <w:noWrap/>
            <w:vAlign w:val="center"/>
            <w:hideMark/>
          </w:tcPr>
          <w:p w14:paraId="02A7ED0D"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Zmniejszenie</w:t>
            </w:r>
          </w:p>
        </w:tc>
        <w:tc>
          <w:tcPr>
            <w:tcW w:w="1047" w:type="dxa"/>
            <w:tcBorders>
              <w:top w:val="nil"/>
              <w:left w:val="nil"/>
              <w:bottom w:val="single" w:sz="8" w:space="0" w:color="auto"/>
              <w:right w:val="single" w:sz="4" w:space="0" w:color="auto"/>
            </w:tcBorders>
            <w:shd w:val="clear" w:color="000000" w:fill="C65911"/>
            <w:noWrap/>
            <w:vAlign w:val="center"/>
            <w:hideMark/>
          </w:tcPr>
          <w:p w14:paraId="7F3DACFD"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Zwiększenie</w:t>
            </w:r>
          </w:p>
        </w:tc>
        <w:tc>
          <w:tcPr>
            <w:tcW w:w="1116" w:type="dxa"/>
            <w:tcBorders>
              <w:top w:val="nil"/>
              <w:left w:val="nil"/>
              <w:bottom w:val="single" w:sz="8" w:space="0" w:color="auto"/>
              <w:right w:val="single" w:sz="4" w:space="0" w:color="auto"/>
            </w:tcBorders>
            <w:shd w:val="clear" w:color="000000" w:fill="C65911"/>
            <w:noWrap/>
            <w:vAlign w:val="center"/>
            <w:hideMark/>
          </w:tcPr>
          <w:p w14:paraId="7C2258A0"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Zmniejszenie</w:t>
            </w:r>
          </w:p>
        </w:tc>
        <w:tc>
          <w:tcPr>
            <w:tcW w:w="1047" w:type="dxa"/>
            <w:tcBorders>
              <w:top w:val="nil"/>
              <w:left w:val="nil"/>
              <w:bottom w:val="single" w:sz="8" w:space="0" w:color="auto"/>
              <w:right w:val="single" w:sz="8" w:space="0" w:color="auto"/>
            </w:tcBorders>
            <w:shd w:val="clear" w:color="000000" w:fill="C65911"/>
            <w:noWrap/>
            <w:vAlign w:val="center"/>
            <w:hideMark/>
          </w:tcPr>
          <w:p w14:paraId="4CAEE67D"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Zwiększenie</w:t>
            </w:r>
          </w:p>
        </w:tc>
      </w:tr>
      <w:tr w:rsidR="00732EE9" w:rsidRPr="00F11842" w14:paraId="2EBBB2D6" w14:textId="77777777" w:rsidTr="009A0E84">
        <w:trPr>
          <w:trHeight w:val="240"/>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55259FA"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8ii</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14:paraId="13528119"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1</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5F2F552D"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0</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35E388EC"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3 703 868</w:t>
            </w:r>
          </w:p>
        </w:tc>
        <w:tc>
          <w:tcPr>
            <w:tcW w:w="1119" w:type="dxa"/>
            <w:tcBorders>
              <w:top w:val="single" w:sz="4" w:space="0" w:color="auto"/>
              <w:left w:val="nil"/>
              <w:bottom w:val="single" w:sz="4" w:space="0" w:color="auto"/>
              <w:right w:val="single" w:sz="4" w:space="0" w:color="auto"/>
            </w:tcBorders>
            <w:shd w:val="clear" w:color="auto" w:fill="auto"/>
            <w:noWrap/>
            <w:vAlign w:val="bottom"/>
            <w:hideMark/>
          </w:tcPr>
          <w:p w14:paraId="75089CF3"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667A0099"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3 121 771</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7175E431"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047" w:type="dxa"/>
            <w:tcBorders>
              <w:top w:val="single" w:sz="4" w:space="0" w:color="auto"/>
              <w:left w:val="nil"/>
              <w:bottom w:val="single" w:sz="4" w:space="0" w:color="auto"/>
              <w:right w:val="single" w:sz="8" w:space="0" w:color="auto"/>
            </w:tcBorders>
            <w:shd w:val="clear" w:color="auto" w:fill="auto"/>
            <w:noWrap/>
            <w:vAlign w:val="bottom"/>
            <w:hideMark/>
          </w:tcPr>
          <w:p w14:paraId="52C01A3F" w14:textId="77777777" w:rsidR="00732EE9" w:rsidRPr="00F11842" w:rsidRDefault="00732EE9" w:rsidP="00732EE9">
            <w:pPr>
              <w:spacing w:before="60" w:after="60" w:line="360" w:lineRule="auto"/>
              <w:jc w:val="right"/>
              <w:rPr>
                <w:rFonts w:eastAsia="Times New Roman" w:cs="Calibri"/>
                <w:sz w:val="18"/>
                <w:szCs w:val="18"/>
                <w:lang w:eastAsia="pl-PL"/>
              </w:rPr>
            </w:pPr>
            <w:r w:rsidRPr="00F11842">
              <w:rPr>
                <w:rFonts w:eastAsia="Times New Roman" w:cs="Calibri"/>
                <w:sz w:val="18"/>
                <w:szCs w:val="18"/>
                <w:lang w:eastAsia="pl-PL"/>
              </w:rPr>
              <w:t>582 097</w:t>
            </w:r>
          </w:p>
        </w:tc>
      </w:tr>
      <w:tr w:rsidR="00732EE9" w:rsidRPr="00F11842" w14:paraId="14832AFF" w14:textId="77777777" w:rsidTr="009A0E84">
        <w:trPr>
          <w:trHeight w:val="240"/>
        </w:trPr>
        <w:tc>
          <w:tcPr>
            <w:tcW w:w="3060" w:type="dxa"/>
            <w:gridSpan w:val="2"/>
            <w:tcBorders>
              <w:top w:val="single" w:sz="4" w:space="0" w:color="auto"/>
              <w:left w:val="single" w:sz="8" w:space="0" w:color="auto"/>
              <w:bottom w:val="single" w:sz="4" w:space="0" w:color="auto"/>
              <w:right w:val="single" w:sz="8" w:space="0" w:color="000000"/>
            </w:tcBorders>
            <w:shd w:val="clear" w:color="000000" w:fill="C65911"/>
            <w:noWrap/>
            <w:vAlign w:val="bottom"/>
            <w:hideMark/>
          </w:tcPr>
          <w:p w14:paraId="71C88E4F"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Razem dla osi priorytetowej I</w:t>
            </w:r>
          </w:p>
        </w:tc>
        <w:tc>
          <w:tcPr>
            <w:tcW w:w="1116" w:type="dxa"/>
            <w:tcBorders>
              <w:top w:val="nil"/>
              <w:left w:val="nil"/>
              <w:bottom w:val="single" w:sz="4" w:space="0" w:color="auto"/>
              <w:right w:val="single" w:sz="4" w:space="0" w:color="auto"/>
            </w:tcBorders>
            <w:shd w:val="clear" w:color="000000" w:fill="C65911"/>
            <w:noWrap/>
            <w:vAlign w:val="bottom"/>
            <w:hideMark/>
          </w:tcPr>
          <w:p w14:paraId="36087359"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0</w:t>
            </w:r>
          </w:p>
        </w:tc>
        <w:tc>
          <w:tcPr>
            <w:tcW w:w="1047" w:type="dxa"/>
            <w:tcBorders>
              <w:top w:val="nil"/>
              <w:left w:val="nil"/>
              <w:bottom w:val="single" w:sz="4" w:space="0" w:color="auto"/>
              <w:right w:val="single" w:sz="4" w:space="0" w:color="auto"/>
            </w:tcBorders>
            <w:shd w:val="clear" w:color="000000" w:fill="C65911"/>
            <w:noWrap/>
            <w:vAlign w:val="bottom"/>
            <w:hideMark/>
          </w:tcPr>
          <w:p w14:paraId="7D3DE08A"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3 703 868</w:t>
            </w:r>
          </w:p>
        </w:tc>
        <w:tc>
          <w:tcPr>
            <w:tcW w:w="1119" w:type="dxa"/>
            <w:tcBorders>
              <w:top w:val="nil"/>
              <w:left w:val="nil"/>
              <w:bottom w:val="single" w:sz="4" w:space="0" w:color="auto"/>
              <w:right w:val="single" w:sz="4" w:space="0" w:color="auto"/>
            </w:tcBorders>
            <w:shd w:val="clear" w:color="000000" w:fill="C65911"/>
            <w:noWrap/>
            <w:vAlign w:val="bottom"/>
            <w:hideMark/>
          </w:tcPr>
          <w:p w14:paraId="49DC0BB6"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0</w:t>
            </w:r>
          </w:p>
        </w:tc>
        <w:tc>
          <w:tcPr>
            <w:tcW w:w="1047" w:type="dxa"/>
            <w:tcBorders>
              <w:top w:val="nil"/>
              <w:left w:val="nil"/>
              <w:bottom w:val="single" w:sz="4" w:space="0" w:color="auto"/>
              <w:right w:val="single" w:sz="4" w:space="0" w:color="auto"/>
            </w:tcBorders>
            <w:shd w:val="clear" w:color="000000" w:fill="C65911"/>
            <w:noWrap/>
            <w:vAlign w:val="bottom"/>
            <w:hideMark/>
          </w:tcPr>
          <w:p w14:paraId="19BA2F71"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3 121 771</w:t>
            </w:r>
          </w:p>
        </w:tc>
        <w:tc>
          <w:tcPr>
            <w:tcW w:w="1116" w:type="dxa"/>
            <w:tcBorders>
              <w:top w:val="nil"/>
              <w:left w:val="nil"/>
              <w:bottom w:val="single" w:sz="4" w:space="0" w:color="auto"/>
              <w:right w:val="single" w:sz="4" w:space="0" w:color="auto"/>
            </w:tcBorders>
            <w:shd w:val="clear" w:color="000000" w:fill="C65911"/>
            <w:noWrap/>
            <w:vAlign w:val="bottom"/>
            <w:hideMark/>
          </w:tcPr>
          <w:p w14:paraId="16BAD23A"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0</w:t>
            </w:r>
          </w:p>
        </w:tc>
        <w:tc>
          <w:tcPr>
            <w:tcW w:w="1047" w:type="dxa"/>
            <w:tcBorders>
              <w:top w:val="nil"/>
              <w:left w:val="nil"/>
              <w:bottom w:val="single" w:sz="4" w:space="0" w:color="auto"/>
              <w:right w:val="single" w:sz="8" w:space="0" w:color="auto"/>
            </w:tcBorders>
            <w:shd w:val="clear" w:color="000000" w:fill="C65911"/>
            <w:noWrap/>
            <w:vAlign w:val="bottom"/>
            <w:hideMark/>
          </w:tcPr>
          <w:p w14:paraId="181FBC30"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582 097</w:t>
            </w:r>
          </w:p>
        </w:tc>
      </w:tr>
      <w:tr w:rsidR="00732EE9" w:rsidRPr="00F11842" w14:paraId="69F20D60"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07153CE6"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9i</w:t>
            </w:r>
          </w:p>
        </w:tc>
        <w:tc>
          <w:tcPr>
            <w:tcW w:w="1300" w:type="dxa"/>
            <w:tcBorders>
              <w:top w:val="nil"/>
              <w:left w:val="nil"/>
              <w:bottom w:val="single" w:sz="4" w:space="0" w:color="auto"/>
              <w:right w:val="single" w:sz="8" w:space="0" w:color="auto"/>
            </w:tcBorders>
            <w:shd w:val="clear" w:color="auto" w:fill="auto"/>
            <w:noWrap/>
            <w:vAlign w:val="bottom"/>
            <w:hideMark/>
          </w:tcPr>
          <w:p w14:paraId="54CE093D"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2</w:t>
            </w:r>
          </w:p>
        </w:tc>
        <w:tc>
          <w:tcPr>
            <w:tcW w:w="1116" w:type="dxa"/>
            <w:tcBorders>
              <w:top w:val="nil"/>
              <w:left w:val="nil"/>
              <w:bottom w:val="single" w:sz="4" w:space="0" w:color="auto"/>
              <w:right w:val="single" w:sz="4" w:space="0" w:color="auto"/>
            </w:tcBorders>
            <w:shd w:val="clear" w:color="auto" w:fill="auto"/>
            <w:noWrap/>
            <w:vAlign w:val="bottom"/>
            <w:hideMark/>
          </w:tcPr>
          <w:p w14:paraId="7F454026"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-2 452 216</w:t>
            </w:r>
          </w:p>
        </w:tc>
        <w:tc>
          <w:tcPr>
            <w:tcW w:w="1047" w:type="dxa"/>
            <w:tcBorders>
              <w:top w:val="nil"/>
              <w:left w:val="nil"/>
              <w:bottom w:val="single" w:sz="4" w:space="0" w:color="auto"/>
              <w:right w:val="single" w:sz="4" w:space="0" w:color="auto"/>
            </w:tcBorders>
            <w:shd w:val="clear" w:color="auto" w:fill="auto"/>
            <w:noWrap/>
            <w:vAlign w:val="bottom"/>
            <w:hideMark/>
          </w:tcPr>
          <w:p w14:paraId="1EBAED97"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9" w:type="dxa"/>
            <w:tcBorders>
              <w:top w:val="nil"/>
              <w:left w:val="nil"/>
              <w:bottom w:val="single" w:sz="4" w:space="0" w:color="auto"/>
              <w:right w:val="single" w:sz="4" w:space="0" w:color="auto"/>
            </w:tcBorders>
            <w:shd w:val="clear" w:color="auto" w:fill="auto"/>
            <w:noWrap/>
            <w:vAlign w:val="bottom"/>
            <w:hideMark/>
          </w:tcPr>
          <w:p w14:paraId="04397008"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-2 066 828</w:t>
            </w:r>
          </w:p>
        </w:tc>
        <w:tc>
          <w:tcPr>
            <w:tcW w:w="1047" w:type="dxa"/>
            <w:tcBorders>
              <w:top w:val="nil"/>
              <w:left w:val="nil"/>
              <w:bottom w:val="single" w:sz="4" w:space="0" w:color="auto"/>
              <w:right w:val="single" w:sz="4" w:space="0" w:color="auto"/>
            </w:tcBorders>
            <w:shd w:val="clear" w:color="auto" w:fill="auto"/>
            <w:noWrap/>
            <w:vAlign w:val="bottom"/>
            <w:hideMark/>
          </w:tcPr>
          <w:p w14:paraId="2A8BA2E6"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6" w:type="dxa"/>
            <w:tcBorders>
              <w:top w:val="nil"/>
              <w:left w:val="nil"/>
              <w:bottom w:val="single" w:sz="4" w:space="0" w:color="auto"/>
              <w:right w:val="single" w:sz="4" w:space="0" w:color="auto"/>
            </w:tcBorders>
            <w:shd w:val="clear" w:color="auto" w:fill="auto"/>
            <w:noWrap/>
            <w:vAlign w:val="bottom"/>
            <w:hideMark/>
          </w:tcPr>
          <w:p w14:paraId="49F509AD"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-385 388</w:t>
            </w:r>
          </w:p>
        </w:tc>
        <w:tc>
          <w:tcPr>
            <w:tcW w:w="1047" w:type="dxa"/>
            <w:tcBorders>
              <w:top w:val="nil"/>
              <w:left w:val="nil"/>
              <w:bottom w:val="single" w:sz="4" w:space="0" w:color="auto"/>
              <w:right w:val="single" w:sz="8" w:space="0" w:color="auto"/>
            </w:tcBorders>
            <w:shd w:val="clear" w:color="auto" w:fill="auto"/>
            <w:noWrap/>
            <w:vAlign w:val="bottom"/>
            <w:hideMark/>
          </w:tcPr>
          <w:p w14:paraId="58810D8F"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r>
      <w:tr w:rsidR="00732EE9" w:rsidRPr="00F11842" w14:paraId="3DE4A364"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05F80155"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9v</w:t>
            </w:r>
          </w:p>
        </w:tc>
        <w:tc>
          <w:tcPr>
            <w:tcW w:w="1300" w:type="dxa"/>
            <w:tcBorders>
              <w:top w:val="nil"/>
              <w:left w:val="nil"/>
              <w:bottom w:val="single" w:sz="4" w:space="0" w:color="auto"/>
              <w:right w:val="single" w:sz="8" w:space="0" w:color="auto"/>
            </w:tcBorders>
            <w:shd w:val="clear" w:color="auto" w:fill="auto"/>
            <w:noWrap/>
            <w:vAlign w:val="bottom"/>
            <w:hideMark/>
          </w:tcPr>
          <w:p w14:paraId="1657CB1C"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2</w:t>
            </w:r>
          </w:p>
        </w:tc>
        <w:tc>
          <w:tcPr>
            <w:tcW w:w="1116" w:type="dxa"/>
            <w:tcBorders>
              <w:top w:val="nil"/>
              <w:left w:val="nil"/>
              <w:bottom w:val="single" w:sz="4" w:space="0" w:color="auto"/>
              <w:right w:val="single" w:sz="4" w:space="0" w:color="auto"/>
            </w:tcBorders>
            <w:shd w:val="clear" w:color="auto" w:fill="auto"/>
            <w:noWrap/>
            <w:vAlign w:val="bottom"/>
            <w:hideMark/>
          </w:tcPr>
          <w:p w14:paraId="4117B19C"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-689 685</w:t>
            </w:r>
          </w:p>
        </w:tc>
        <w:tc>
          <w:tcPr>
            <w:tcW w:w="1047" w:type="dxa"/>
            <w:tcBorders>
              <w:top w:val="nil"/>
              <w:left w:val="nil"/>
              <w:bottom w:val="single" w:sz="4" w:space="0" w:color="auto"/>
              <w:right w:val="single" w:sz="4" w:space="0" w:color="auto"/>
            </w:tcBorders>
            <w:shd w:val="clear" w:color="auto" w:fill="auto"/>
            <w:noWrap/>
            <w:vAlign w:val="bottom"/>
            <w:hideMark/>
          </w:tcPr>
          <w:p w14:paraId="45058F9A"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9" w:type="dxa"/>
            <w:tcBorders>
              <w:top w:val="nil"/>
              <w:left w:val="nil"/>
              <w:bottom w:val="single" w:sz="4" w:space="0" w:color="auto"/>
              <w:right w:val="single" w:sz="4" w:space="0" w:color="auto"/>
            </w:tcBorders>
            <w:shd w:val="clear" w:color="auto" w:fill="auto"/>
            <w:noWrap/>
            <w:vAlign w:val="bottom"/>
            <w:hideMark/>
          </w:tcPr>
          <w:p w14:paraId="0162F04C"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-581 295</w:t>
            </w:r>
          </w:p>
        </w:tc>
        <w:tc>
          <w:tcPr>
            <w:tcW w:w="1047" w:type="dxa"/>
            <w:tcBorders>
              <w:top w:val="nil"/>
              <w:left w:val="nil"/>
              <w:bottom w:val="single" w:sz="4" w:space="0" w:color="auto"/>
              <w:right w:val="single" w:sz="4" w:space="0" w:color="auto"/>
            </w:tcBorders>
            <w:shd w:val="clear" w:color="auto" w:fill="auto"/>
            <w:noWrap/>
            <w:vAlign w:val="bottom"/>
            <w:hideMark/>
          </w:tcPr>
          <w:p w14:paraId="4BA955EC"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6" w:type="dxa"/>
            <w:tcBorders>
              <w:top w:val="nil"/>
              <w:left w:val="nil"/>
              <w:bottom w:val="single" w:sz="4" w:space="0" w:color="auto"/>
              <w:right w:val="single" w:sz="4" w:space="0" w:color="auto"/>
            </w:tcBorders>
            <w:shd w:val="clear" w:color="auto" w:fill="auto"/>
            <w:noWrap/>
            <w:vAlign w:val="bottom"/>
            <w:hideMark/>
          </w:tcPr>
          <w:p w14:paraId="3A520F0F"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-108 390</w:t>
            </w:r>
          </w:p>
        </w:tc>
        <w:tc>
          <w:tcPr>
            <w:tcW w:w="1047" w:type="dxa"/>
            <w:tcBorders>
              <w:top w:val="nil"/>
              <w:left w:val="nil"/>
              <w:bottom w:val="single" w:sz="4" w:space="0" w:color="auto"/>
              <w:right w:val="single" w:sz="8" w:space="0" w:color="auto"/>
            </w:tcBorders>
            <w:shd w:val="clear" w:color="auto" w:fill="auto"/>
            <w:noWrap/>
            <w:vAlign w:val="bottom"/>
            <w:hideMark/>
          </w:tcPr>
          <w:p w14:paraId="79188CF6"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r>
      <w:tr w:rsidR="00732EE9" w:rsidRPr="00F11842" w14:paraId="7FFA1A0A"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075D0E12"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10i</w:t>
            </w:r>
          </w:p>
        </w:tc>
        <w:tc>
          <w:tcPr>
            <w:tcW w:w="1300" w:type="dxa"/>
            <w:tcBorders>
              <w:top w:val="nil"/>
              <w:left w:val="nil"/>
              <w:bottom w:val="single" w:sz="4" w:space="0" w:color="auto"/>
              <w:right w:val="single" w:sz="8" w:space="0" w:color="auto"/>
            </w:tcBorders>
            <w:shd w:val="clear" w:color="auto" w:fill="auto"/>
            <w:noWrap/>
            <w:vAlign w:val="bottom"/>
            <w:hideMark/>
          </w:tcPr>
          <w:p w14:paraId="17F17ABE"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2</w:t>
            </w:r>
          </w:p>
        </w:tc>
        <w:tc>
          <w:tcPr>
            <w:tcW w:w="1116" w:type="dxa"/>
            <w:tcBorders>
              <w:top w:val="nil"/>
              <w:left w:val="nil"/>
              <w:bottom w:val="single" w:sz="4" w:space="0" w:color="auto"/>
              <w:right w:val="single" w:sz="4" w:space="0" w:color="auto"/>
            </w:tcBorders>
            <w:shd w:val="clear" w:color="auto" w:fill="auto"/>
            <w:noWrap/>
            <w:vAlign w:val="bottom"/>
            <w:hideMark/>
          </w:tcPr>
          <w:p w14:paraId="25FE9953"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-2 171 231</w:t>
            </w:r>
          </w:p>
        </w:tc>
        <w:tc>
          <w:tcPr>
            <w:tcW w:w="1047" w:type="dxa"/>
            <w:tcBorders>
              <w:top w:val="nil"/>
              <w:left w:val="nil"/>
              <w:bottom w:val="single" w:sz="4" w:space="0" w:color="auto"/>
              <w:right w:val="single" w:sz="4" w:space="0" w:color="auto"/>
            </w:tcBorders>
            <w:shd w:val="clear" w:color="auto" w:fill="auto"/>
            <w:noWrap/>
            <w:vAlign w:val="bottom"/>
            <w:hideMark/>
          </w:tcPr>
          <w:p w14:paraId="334CD7E0"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9" w:type="dxa"/>
            <w:tcBorders>
              <w:top w:val="nil"/>
              <w:left w:val="nil"/>
              <w:bottom w:val="single" w:sz="4" w:space="0" w:color="auto"/>
              <w:right w:val="single" w:sz="4" w:space="0" w:color="auto"/>
            </w:tcBorders>
            <w:shd w:val="clear" w:color="auto" w:fill="auto"/>
            <w:noWrap/>
            <w:vAlign w:val="bottom"/>
            <w:hideMark/>
          </w:tcPr>
          <w:p w14:paraId="2602743C"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-1 830 003</w:t>
            </w:r>
          </w:p>
        </w:tc>
        <w:tc>
          <w:tcPr>
            <w:tcW w:w="1047" w:type="dxa"/>
            <w:tcBorders>
              <w:top w:val="nil"/>
              <w:left w:val="nil"/>
              <w:bottom w:val="single" w:sz="4" w:space="0" w:color="auto"/>
              <w:right w:val="single" w:sz="4" w:space="0" w:color="auto"/>
            </w:tcBorders>
            <w:shd w:val="clear" w:color="auto" w:fill="auto"/>
            <w:noWrap/>
            <w:vAlign w:val="bottom"/>
            <w:hideMark/>
          </w:tcPr>
          <w:p w14:paraId="4731DCB1"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6" w:type="dxa"/>
            <w:tcBorders>
              <w:top w:val="nil"/>
              <w:left w:val="nil"/>
              <w:bottom w:val="single" w:sz="4" w:space="0" w:color="auto"/>
              <w:right w:val="single" w:sz="4" w:space="0" w:color="auto"/>
            </w:tcBorders>
            <w:shd w:val="clear" w:color="auto" w:fill="auto"/>
            <w:noWrap/>
            <w:vAlign w:val="bottom"/>
            <w:hideMark/>
          </w:tcPr>
          <w:p w14:paraId="5EEC434C"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-341 228</w:t>
            </w:r>
          </w:p>
        </w:tc>
        <w:tc>
          <w:tcPr>
            <w:tcW w:w="1047" w:type="dxa"/>
            <w:tcBorders>
              <w:top w:val="nil"/>
              <w:left w:val="nil"/>
              <w:bottom w:val="single" w:sz="4" w:space="0" w:color="auto"/>
              <w:right w:val="single" w:sz="8" w:space="0" w:color="auto"/>
            </w:tcBorders>
            <w:shd w:val="clear" w:color="auto" w:fill="auto"/>
            <w:noWrap/>
            <w:vAlign w:val="bottom"/>
            <w:hideMark/>
          </w:tcPr>
          <w:p w14:paraId="28DEA203"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r>
      <w:tr w:rsidR="00732EE9" w:rsidRPr="00F11842" w14:paraId="0D8C9EF7"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38C5E061"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10iii</w:t>
            </w:r>
          </w:p>
        </w:tc>
        <w:tc>
          <w:tcPr>
            <w:tcW w:w="1300" w:type="dxa"/>
            <w:tcBorders>
              <w:top w:val="nil"/>
              <w:left w:val="nil"/>
              <w:bottom w:val="single" w:sz="4" w:space="0" w:color="auto"/>
              <w:right w:val="single" w:sz="8" w:space="0" w:color="auto"/>
            </w:tcBorders>
            <w:shd w:val="clear" w:color="auto" w:fill="auto"/>
            <w:noWrap/>
            <w:vAlign w:val="bottom"/>
            <w:hideMark/>
          </w:tcPr>
          <w:p w14:paraId="1A3DAEB3"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2</w:t>
            </w:r>
          </w:p>
        </w:tc>
        <w:tc>
          <w:tcPr>
            <w:tcW w:w="1116" w:type="dxa"/>
            <w:tcBorders>
              <w:top w:val="nil"/>
              <w:left w:val="nil"/>
              <w:bottom w:val="single" w:sz="4" w:space="0" w:color="auto"/>
              <w:right w:val="single" w:sz="4" w:space="0" w:color="auto"/>
            </w:tcBorders>
            <w:shd w:val="clear" w:color="auto" w:fill="auto"/>
            <w:noWrap/>
            <w:vAlign w:val="bottom"/>
            <w:hideMark/>
          </w:tcPr>
          <w:p w14:paraId="4B63CB1D"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-434 247</w:t>
            </w:r>
          </w:p>
        </w:tc>
        <w:tc>
          <w:tcPr>
            <w:tcW w:w="1047" w:type="dxa"/>
            <w:tcBorders>
              <w:top w:val="nil"/>
              <w:left w:val="nil"/>
              <w:bottom w:val="single" w:sz="4" w:space="0" w:color="auto"/>
              <w:right w:val="single" w:sz="4" w:space="0" w:color="auto"/>
            </w:tcBorders>
            <w:shd w:val="clear" w:color="auto" w:fill="auto"/>
            <w:noWrap/>
            <w:vAlign w:val="bottom"/>
            <w:hideMark/>
          </w:tcPr>
          <w:p w14:paraId="4E73F951"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9" w:type="dxa"/>
            <w:tcBorders>
              <w:top w:val="nil"/>
              <w:left w:val="nil"/>
              <w:bottom w:val="single" w:sz="4" w:space="0" w:color="auto"/>
              <w:right w:val="single" w:sz="4" w:space="0" w:color="auto"/>
            </w:tcBorders>
            <w:shd w:val="clear" w:color="auto" w:fill="auto"/>
            <w:noWrap/>
            <w:vAlign w:val="bottom"/>
            <w:hideMark/>
          </w:tcPr>
          <w:p w14:paraId="523073D6"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-366 001</w:t>
            </w:r>
          </w:p>
        </w:tc>
        <w:tc>
          <w:tcPr>
            <w:tcW w:w="1047" w:type="dxa"/>
            <w:tcBorders>
              <w:top w:val="nil"/>
              <w:left w:val="nil"/>
              <w:bottom w:val="single" w:sz="4" w:space="0" w:color="auto"/>
              <w:right w:val="single" w:sz="4" w:space="0" w:color="auto"/>
            </w:tcBorders>
            <w:shd w:val="clear" w:color="auto" w:fill="auto"/>
            <w:noWrap/>
            <w:vAlign w:val="bottom"/>
            <w:hideMark/>
          </w:tcPr>
          <w:p w14:paraId="27D8C9A9"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6" w:type="dxa"/>
            <w:tcBorders>
              <w:top w:val="nil"/>
              <w:left w:val="nil"/>
              <w:bottom w:val="single" w:sz="4" w:space="0" w:color="auto"/>
              <w:right w:val="single" w:sz="4" w:space="0" w:color="auto"/>
            </w:tcBorders>
            <w:shd w:val="clear" w:color="auto" w:fill="auto"/>
            <w:noWrap/>
            <w:vAlign w:val="bottom"/>
            <w:hideMark/>
          </w:tcPr>
          <w:p w14:paraId="42BD27F8"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-68 246</w:t>
            </w:r>
          </w:p>
        </w:tc>
        <w:tc>
          <w:tcPr>
            <w:tcW w:w="1047" w:type="dxa"/>
            <w:tcBorders>
              <w:top w:val="nil"/>
              <w:left w:val="nil"/>
              <w:bottom w:val="single" w:sz="4" w:space="0" w:color="auto"/>
              <w:right w:val="single" w:sz="8" w:space="0" w:color="auto"/>
            </w:tcBorders>
            <w:shd w:val="clear" w:color="auto" w:fill="auto"/>
            <w:noWrap/>
            <w:vAlign w:val="bottom"/>
            <w:hideMark/>
          </w:tcPr>
          <w:p w14:paraId="6DB32B2F"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r>
      <w:tr w:rsidR="00732EE9" w:rsidRPr="00F11842" w14:paraId="02DB55C3"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66BB2AFE"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10iv</w:t>
            </w:r>
          </w:p>
        </w:tc>
        <w:tc>
          <w:tcPr>
            <w:tcW w:w="1300" w:type="dxa"/>
            <w:tcBorders>
              <w:top w:val="nil"/>
              <w:left w:val="nil"/>
              <w:bottom w:val="single" w:sz="4" w:space="0" w:color="auto"/>
              <w:right w:val="single" w:sz="8" w:space="0" w:color="auto"/>
            </w:tcBorders>
            <w:shd w:val="clear" w:color="auto" w:fill="auto"/>
            <w:noWrap/>
            <w:vAlign w:val="bottom"/>
            <w:hideMark/>
          </w:tcPr>
          <w:p w14:paraId="356D3421"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2</w:t>
            </w:r>
          </w:p>
        </w:tc>
        <w:tc>
          <w:tcPr>
            <w:tcW w:w="1116" w:type="dxa"/>
            <w:tcBorders>
              <w:top w:val="nil"/>
              <w:left w:val="nil"/>
              <w:bottom w:val="single" w:sz="4" w:space="0" w:color="auto"/>
              <w:right w:val="single" w:sz="4" w:space="0" w:color="auto"/>
            </w:tcBorders>
            <w:shd w:val="clear" w:color="auto" w:fill="auto"/>
            <w:noWrap/>
            <w:vAlign w:val="bottom"/>
            <w:hideMark/>
          </w:tcPr>
          <w:p w14:paraId="3975B85F"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0</w:t>
            </w:r>
          </w:p>
        </w:tc>
        <w:tc>
          <w:tcPr>
            <w:tcW w:w="1047" w:type="dxa"/>
            <w:tcBorders>
              <w:top w:val="nil"/>
              <w:left w:val="nil"/>
              <w:bottom w:val="single" w:sz="4" w:space="0" w:color="auto"/>
              <w:right w:val="single" w:sz="4" w:space="0" w:color="auto"/>
            </w:tcBorders>
            <w:shd w:val="clear" w:color="auto" w:fill="auto"/>
            <w:noWrap/>
            <w:vAlign w:val="bottom"/>
            <w:hideMark/>
          </w:tcPr>
          <w:p w14:paraId="742EDAF1"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7 024 573</w:t>
            </w:r>
          </w:p>
        </w:tc>
        <w:tc>
          <w:tcPr>
            <w:tcW w:w="1119" w:type="dxa"/>
            <w:tcBorders>
              <w:top w:val="nil"/>
              <w:left w:val="nil"/>
              <w:bottom w:val="single" w:sz="4" w:space="0" w:color="auto"/>
              <w:right w:val="single" w:sz="4" w:space="0" w:color="auto"/>
            </w:tcBorders>
            <w:shd w:val="clear" w:color="auto" w:fill="auto"/>
            <w:noWrap/>
            <w:vAlign w:val="bottom"/>
            <w:hideMark/>
          </w:tcPr>
          <w:p w14:paraId="449245DD"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047" w:type="dxa"/>
            <w:tcBorders>
              <w:top w:val="nil"/>
              <w:left w:val="nil"/>
              <w:bottom w:val="single" w:sz="4" w:space="0" w:color="auto"/>
              <w:right w:val="single" w:sz="4" w:space="0" w:color="auto"/>
            </w:tcBorders>
            <w:shd w:val="clear" w:color="auto" w:fill="auto"/>
            <w:noWrap/>
            <w:vAlign w:val="bottom"/>
            <w:hideMark/>
          </w:tcPr>
          <w:p w14:paraId="3A8F01EF"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5 920 599</w:t>
            </w:r>
          </w:p>
        </w:tc>
        <w:tc>
          <w:tcPr>
            <w:tcW w:w="1116" w:type="dxa"/>
            <w:tcBorders>
              <w:top w:val="nil"/>
              <w:left w:val="nil"/>
              <w:bottom w:val="single" w:sz="4" w:space="0" w:color="auto"/>
              <w:right w:val="single" w:sz="4" w:space="0" w:color="auto"/>
            </w:tcBorders>
            <w:shd w:val="clear" w:color="auto" w:fill="auto"/>
            <w:noWrap/>
            <w:vAlign w:val="bottom"/>
            <w:hideMark/>
          </w:tcPr>
          <w:p w14:paraId="1B49EEB7"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047" w:type="dxa"/>
            <w:tcBorders>
              <w:top w:val="nil"/>
              <w:left w:val="nil"/>
              <w:bottom w:val="single" w:sz="4" w:space="0" w:color="auto"/>
              <w:right w:val="single" w:sz="8" w:space="0" w:color="auto"/>
            </w:tcBorders>
            <w:shd w:val="clear" w:color="auto" w:fill="auto"/>
            <w:noWrap/>
            <w:vAlign w:val="bottom"/>
            <w:hideMark/>
          </w:tcPr>
          <w:p w14:paraId="7E57A17E"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1 103 974</w:t>
            </w:r>
          </w:p>
        </w:tc>
      </w:tr>
      <w:tr w:rsidR="00732EE9" w:rsidRPr="00F11842" w14:paraId="2D2555B1"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3375DE66"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11i</w:t>
            </w:r>
          </w:p>
        </w:tc>
        <w:tc>
          <w:tcPr>
            <w:tcW w:w="1300" w:type="dxa"/>
            <w:tcBorders>
              <w:top w:val="nil"/>
              <w:left w:val="nil"/>
              <w:bottom w:val="single" w:sz="4" w:space="0" w:color="auto"/>
              <w:right w:val="single" w:sz="8" w:space="0" w:color="auto"/>
            </w:tcBorders>
            <w:shd w:val="clear" w:color="auto" w:fill="auto"/>
            <w:noWrap/>
            <w:vAlign w:val="bottom"/>
            <w:hideMark/>
          </w:tcPr>
          <w:p w14:paraId="4BE1D09D"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2</w:t>
            </w:r>
          </w:p>
        </w:tc>
        <w:tc>
          <w:tcPr>
            <w:tcW w:w="1116" w:type="dxa"/>
            <w:tcBorders>
              <w:top w:val="nil"/>
              <w:left w:val="nil"/>
              <w:bottom w:val="single" w:sz="4" w:space="0" w:color="auto"/>
              <w:right w:val="single" w:sz="4" w:space="0" w:color="auto"/>
            </w:tcBorders>
            <w:shd w:val="clear" w:color="auto" w:fill="auto"/>
            <w:noWrap/>
            <w:vAlign w:val="bottom"/>
            <w:hideMark/>
          </w:tcPr>
          <w:p w14:paraId="310CF48C"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-561 966</w:t>
            </w:r>
          </w:p>
        </w:tc>
        <w:tc>
          <w:tcPr>
            <w:tcW w:w="1047" w:type="dxa"/>
            <w:tcBorders>
              <w:top w:val="nil"/>
              <w:left w:val="nil"/>
              <w:bottom w:val="single" w:sz="4" w:space="0" w:color="auto"/>
              <w:right w:val="single" w:sz="4" w:space="0" w:color="auto"/>
            </w:tcBorders>
            <w:shd w:val="clear" w:color="auto" w:fill="auto"/>
            <w:noWrap/>
            <w:vAlign w:val="bottom"/>
            <w:hideMark/>
          </w:tcPr>
          <w:p w14:paraId="590E6CB5"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9" w:type="dxa"/>
            <w:tcBorders>
              <w:top w:val="nil"/>
              <w:left w:val="nil"/>
              <w:bottom w:val="single" w:sz="4" w:space="0" w:color="auto"/>
              <w:right w:val="single" w:sz="4" w:space="0" w:color="auto"/>
            </w:tcBorders>
            <w:shd w:val="clear" w:color="auto" w:fill="auto"/>
            <w:noWrap/>
            <w:vAlign w:val="bottom"/>
            <w:hideMark/>
          </w:tcPr>
          <w:p w14:paraId="196D5165"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-473 648</w:t>
            </w:r>
          </w:p>
        </w:tc>
        <w:tc>
          <w:tcPr>
            <w:tcW w:w="1047" w:type="dxa"/>
            <w:tcBorders>
              <w:top w:val="nil"/>
              <w:left w:val="nil"/>
              <w:bottom w:val="single" w:sz="4" w:space="0" w:color="auto"/>
              <w:right w:val="single" w:sz="4" w:space="0" w:color="auto"/>
            </w:tcBorders>
            <w:shd w:val="clear" w:color="auto" w:fill="auto"/>
            <w:noWrap/>
            <w:vAlign w:val="bottom"/>
            <w:hideMark/>
          </w:tcPr>
          <w:p w14:paraId="11D849EA"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6" w:type="dxa"/>
            <w:tcBorders>
              <w:top w:val="nil"/>
              <w:left w:val="nil"/>
              <w:bottom w:val="single" w:sz="4" w:space="0" w:color="auto"/>
              <w:right w:val="single" w:sz="4" w:space="0" w:color="auto"/>
            </w:tcBorders>
            <w:shd w:val="clear" w:color="auto" w:fill="auto"/>
            <w:noWrap/>
            <w:vAlign w:val="bottom"/>
            <w:hideMark/>
          </w:tcPr>
          <w:p w14:paraId="31984EA8"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-88 318</w:t>
            </w:r>
          </w:p>
        </w:tc>
        <w:tc>
          <w:tcPr>
            <w:tcW w:w="1047" w:type="dxa"/>
            <w:tcBorders>
              <w:top w:val="nil"/>
              <w:left w:val="nil"/>
              <w:bottom w:val="single" w:sz="4" w:space="0" w:color="auto"/>
              <w:right w:val="single" w:sz="8" w:space="0" w:color="auto"/>
            </w:tcBorders>
            <w:shd w:val="clear" w:color="auto" w:fill="auto"/>
            <w:noWrap/>
            <w:vAlign w:val="bottom"/>
            <w:hideMark/>
          </w:tcPr>
          <w:p w14:paraId="3B0E42CC"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r>
      <w:tr w:rsidR="00732EE9" w:rsidRPr="00F11842" w14:paraId="1851201F" w14:textId="77777777" w:rsidTr="009A0E84">
        <w:trPr>
          <w:trHeight w:val="240"/>
        </w:trPr>
        <w:tc>
          <w:tcPr>
            <w:tcW w:w="3060" w:type="dxa"/>
            <w:gridSpan w:val="2"/>
            <w:tcBorders>
              <w:top w:val="single" w:sz="4" w:space="0" w:color="auto"/>
              <w:left w:val="single" w:sz="8" w:space="0" w:color="auto"/>
              <w:bottom w:val="single" w:sz="4" w:space="0" w:color="auto"/>
              <w:right w:val="single" w:sz="8" w:space="0" w:color="000000"/>
            </w:tcBorders>
            <w:shd w:val="clear" w:color="000000" w:fill="C65911"/>
            <w:noWrap/>
            <w:vAlign w:val="bottom"/>
            <w:hideMark/>
          </w:tcPr>
          <w:p w14:paraId="0C552904"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Razem dla osi priorytetowej II</w:t>
            </w:r>
          </w:p>
        </w:tc>
        <w:tc>
          <w:tcPr>
            <w:tcW w:w="1116" w:type="dxa"/>
            <w:tcBorders>
              <w:top w:val="nil"/>
              <w:left w:val="nil"/>
              <w:bottom w:val="single" w:sz="4" w:space="0" w:color="auto"/>
              <w:right w:val="single" w:sz="4" w:space="0" w:color="auto"/>
            </w:tcBorders>
            <w:shd w:val="clear" w:color="000000" w:fill="C65911"/>
            <w:noWrap/>
            <w:vAlign w:val="bottom"/>
            <w:hideMark/>
          </w:tcPr>
          <w:p w14:paraId="3A133D65"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-6 309 345</w:t>
            </w:r>
          </w:p>
        </w:tc>
        <w:tc>
          <w:tcPr>
            <w:tcW w:w="1047" w:type="dxa"/>
            <w:tcBorders>
              <w:top w:val="nil"/>
              <w:left w:val="nil"/>
              <w:bottom w:val="single" w:sz="4" w:space="0" w:color="auto"/>
              <w:right w:val="single" w:sz="4" w:space="0" w:color="auto"/>
            </w:tcBorders>
            <w:shd w:val="clear" w:color="000000" w:fill="C65911"/>
            <w:noWrap/>
            <w:vAlign w:val="bottom"/>
            <w:hideMark/>
          </w:tcPr>
          <w:p w14:paraId="0F271559"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7 024 573</w:t>
            </w:r>
          </w:p>
        </w:tc>
        <w:tc>
          <w:tcPr>
            <w:tcW w:w="1119" w:type="dxa"/>
            <w:tcBorders>
              <w:top w:val="nil"/>
              <w:left w:val="nil"/>
              <w:bottom w:val="single" w:sz="4" w:space="0" w:color="auto"/>
              <w:right w:val="single" w:sz="4" w:space="0" w:color="auto"/>
            </w:tcBorders>
            <w:shd w:val="clear" w:color="000000" w:fill="C65911"/>
            <w:noWrap/>
            <w:vAlign w:val="bottom"/>
            <w:hideMark/>
          </w:tcPr>
          <w:p w14:paraId="696AC003"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-5 317 775</w:t>
            </w:r>
          </w:p>
        </w:tc>
        <w:tc>
          <w:tcPr>
            <w:tcW w:w="1047" w:type="dxa"/>
            <w:tcBorders>
              <w:top w:val="nil"/>
              <w:left w:val="nil"/>
              <w:bottom w:val="single" w:sz="4" w:space="0" w:color="auto"/>
              <w:right w:val="single" w:sz="4" w:space="0" w:color="auto"/>
            </w:tcBorders>
            <w:shd w:val="clear" w:color="000000" w:fill="C65911"/>
            <w:noWrap/>
            <w:vAlign w:val="bottom"/>
            <w:hideMark/>
          </w:tcPr>
          <w:p w14:paraId="3F551446"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5 920 599</w:t>
            </w:r>
          </w:p>
        </w:tc>
        <w:tc>
          <w:tcPr>
            <w:tcW w:w="1116" w:type="dxa"/>
            <w:tcBorders>
              <w:top w:val="nil"/>
              <w:left w:val="nil"/>
              <w:bottom w:val="single" w:sz="4" w:space="0" w:color="auto"/>
              <w:right w:val="single" w:sz="4" w:space="0" w:color="auto"/>
            </w:tcBorders>
            <w:shd w:val="clear" w:color="000000" w:fill="C65911"/>
            <w:noWrap/>
            <w:vAlign w:val="bottom"/>
            <w:hideMark/>
          </w:tcPr>
          <w:p w14:paraId="3DF78B76"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-991 570</w:t>
            </w:r>
          </w:p>
        </w:tc>
        <w:tc>
          <w:tcPr>
            <w:tcW w:w="1047" w:type="dxa"/>
            <w:tcBorders>
              <w:top w:val="nil"/>
              <w:left w:val="nil"/>
              <w:bottom w:val="single" w:sz="4" w:space="0" w:color="auto"/>
              <w:right w:val="single" w:sz="8" w:space="0" w:color="auto"/>
            </w:tcBorders>
            <w:shd w:val="clear" w:color="000000" w:fill="C65911"/>
            <w:noWrap/>
            <w:vAlign w:val="bottom"/>
            <w:hideMark/>
          </w:tcPr>
          <w:p w14:paraId="5CADF306"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1 103 974</w:t>
            </w:r>
          </w:p>
        </w:tc>
      </w:tr>
      <w:tr w:rsidR="00732EE9" w:rsidRPr="00F11842" w14:paraId="51B2FC1E"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7B4A1129"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10ii</w:t>
            </w:r>
          </w:p>
        </w:tc>
        <w:tc>
          <w:tcPr>
            <w:tcW w:w="1300" w:type="dxa"/>
            <w:tcBorders>
              <w:top w:val="nil"/>
              <w:left w:val="nil"/>
              <w:bottom w:val="single" w:sz="4" w:space="0" w:color="auto"/>
              <w:right w:val="single" w:sz="8" w:space="0" w:color="auto"/>
            </w:tcBorders>
            <w:shd w:val="clear" w:color="auto" w:fill="auto"/>
            <w:noWrap/>
            <w:vAlign w:val="bottom"/>
            <w:hideMark/>
          </w:tcPr>
          <w:p w14:paraId="6381522B"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3</w:t>
            </w:r>
          </w:p>
        </w:tc>
        <w:tc>
          <w:tcPr>
            <w:tcW w:w="1116" w:type="dxa"/>
            <w:tcBorders>
              <w:top w:val="nil"/>
              <w:left w:val="nil"/>
              <w:bottom w:val="single" w:sz="4" w:space="0" w:color="auto"/>
              <w:right w:val="single" w:sz="4" w:space="0" w:color="auto"/>
            </w:tcBorders>
            <w:shd w:val="clear" w:color="auto" w:fill="auto"/>
            <w:noWrap/>
            <w:vAlign w:val="bottom"/>
            <w:hideMark/>
          </w:tcPr>
          <w:p w14:paraId="733A3A9F" w14:textId="6EE41A1B"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-3</w:t>
            </w:r>
            <w:r w:rsidR="00CA43D7">
              <w:rPr>
                <w:rFonts w:eastAsia="Times New Roman" w:cs="Calibri"/>
                <w:color w:val="000000"/>
                <w:sz w:val="18"/>
                <w:szCs w:val="18"/>
                <w:lang w:eastAsia="pl-PL"/>
              </w:rPr>
              <w:t> 806 040</w:t>
            </w:r>
          </w:p>
        </w:tc>
        <w:tc>
          <w:tcPr>
            <w:tcW w:w="1047" w:type="dxa"/>
            <w:tcBorders>
              <w:top w:val="nil"/>
              <w:left w:val="nil"/>
              <w:bottom w:val="single" w:sz="4" w:space="0" w:color="auto"/>
              <w:right w:val="single" w:sz="4" w:space="0" w:color="auto"/>
            </w:tcBorders>
            <w:shd w:val="clear" w:color="auto" w:fill="auto"/>
            <w:noWrap/>
            <w:vAlign w:val="bottom"/>
            <w:hideMark/>
          </w:tcPr>
          <w:p w14:paraId="1BE7E165"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0</w:t>
            </w:r>
          </w:p>
        </w:tc>
        <w:tc>
          <w:tcPr>
            <w:tcW w:w="1119" w:type="dxa"/>
            <w:tcBorders>
              <w:top w:val="nil"/>
              <w:left w:val="nil"/>
              <w:bottom w:val="single" w:sz="4" w:space="0" w:color="auto"/>
              <w:right w:val="single" w:sz="4" w:space="0" w:color="auto"/>
            </w:tcBorders>
            <w:shd w:val="clear" w:color="auto" w:fill="auto"/>
            <w:noWrap/>
            <w:vAlign w:val="bottom"/>
            <w:hideMark/>
          </w:tcPr>
          <w:p w14:paraId="29BEAE71"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-3 207 888</w:t>
            </w:r>
          </w:p>
        </w:tc>
        <w:tc>
          <w:tcPr>
            <w:tcW w:w="1047" w:type="dxa"/>
            <w:tcBorders>
              <w:top w:val="nil"/>
              <w:left w:val="nil"/>
              <w:bottom w:val="single" w:sz="4" w:space="0" w:color="auto"/>
              <w:right w:val="single" w:sz="4" w:space="0" w:color="auto"/>
            </w:tcBorders>
            <w:shd w:val="clear" w:color="auto" w:fill="auto"/>
            <w:noWrap/>
            <w:vAlign w:val="bottom"/>
            <w:hideMark/>
          </w:tcPr>
          <w:p w14:paraId="1336FB39"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6" w:type="dxa"/>
            <w:tcBorders>
              <w:top w:val="nil"/>
              <w:left w:val="nil"/>
              <w:bottom w:val="single" w:sz="4" w:space="0" w:color="auto"/>
              <w:right w:val="single" w:sz="4" w:space="0" w:color="auto"/>
            </w:tcBorders>
            <w:shd w:val="clear" w:color="auto" w:fill="auto"/>
            <w:noWrap/>
            <w:vAlign w:val="bottom"/>
            <w:hideMark/>
          </w:tcPr>
          <w:p w14:paraId="3F5068D6" w14:textId="00D5A2F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w:t>
            </w:r>
            <w:r w:rsidR="00CA43D7">
              <w:rPr>
                <w:rFonts w:eastAsia="Times New Roman" w:cs="Calibri"/>
                <w:color w:val="000000"/>
                <w:sz w:val="18"/>
                <w:szCs w:val="18"/>
                <w:lang w:eastAsia="pl-PL"/>
              </w:rPr>
              <w:t>598 152</w:t>
            </w:r>
          </w:p>
        </w:tc>
        <w:tc>
          <w:tcPr>
            <w:tcW w:w="1047" w:type="dxa"/>
            <w:tcBorders>
              <w:top w:val="nil"/>
              <w:left w:val="nil"/>
              <w:bottom w:val="single" w:sz="4" w:space="0" w:color="auto"/>
              <w:right w:val="single" w:sz="8" w:space="0" w:color="auto"/>
            </w:tcBorders>
            <w:shd w:val="clear" w:color="auto" w:fill="auto"/>
            <w:noWrap/>
            <w:vAlign w:val="bottom"/>
            <w:hideMark/>
          </w:tcPr>
          <w:p w14:paraId="0AD2BD40"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r>
      <w:tr w:rsidR="00732EE9" w:rsidRPr="00F11842" w14:paraId="26BC460A"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5A7EE9C2"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8v</w:t>
            </w:r>
          </w:p>
        </w:tc>
        <w:tc>
          <w:tcPr>
            <w:tcW w:w="1300" w:type="dxa"/>
            <w:tcBorders>
              <w:top w:val="nil"/>
              <w:left w:val="nil"/>
              <w:bottom w:val="single" w:sz="4" w:space="0" w:color="auto"/>
              <w:right w:val="single" w:sz="8" w:space="0" w:color="auto"/>
            </w:tcBorders>
            <w:shd w:val="clear" w:color="auto" w:fill="auto"/>
            <w:noWrap/>
            <w:vAlign w:val="bottom"/>
            <w:hideMark/>
          </w:tcPr>
          <w:p w14:paraId="51DA8FAB"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3</w:t>
            </w:r>
          </w:p>
        </w:tc>
        <w:tc>
          <w:tcPr>
            <w:tcW w:w="1116" w:type="dxa"/>
            <w:tcBorders>
              <w:top w:val="nil"/>
              <w:left w:val="nil"/>
              <w:bottom w:val="single" w:sz="4" w:space="0" w:color="auto"/>
              <w:right w:val="single" w:sz="4" w:space="0" w:color="auto"/>
            </w:tcBorders>
            <w:shd w:val="clear" w:color="auto" w:fill="auto"/>
            <w:noWrap/>
            <w:vAlign w:val="bottom"/>
            <w:hideMark/>
          </w:tcPr>
          <w:p w14:paraId="48C664F1" w14:textId="354D28F6"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w:t>
            </w:r>
            <w:r w:rsidR="00CA43D7">
              <w:rPr>
                <w:rFonts w:eastAsia="Times New Roman" w:cs="Calibri"/>
                <w:color w:val="000000"/>
                <w:sz w:val="18"/>
                <w:szCs w:val="18"/>
                <w:lang w:eastAsia="pl-PL"/>
              </w:rPr>
              <w:t>613 054</w:t>
            </w:r>
          </w:p>
        </w:tc>
        <w:tc>
          <w:tcPr>
            <w:tcW w:w="1047" w:type="dxa"/>
            <w:tcBorders>
              <w:top w:val="nil"/>
              <w:left w:val="nil"/>
              <w:bottom w:val="single" w:sz="4" w:space="0" w:color="auto"/>
              <w:right w:val="single" w:sz="4" w:space="0" w:color="auto"/>
            </w:tcBorders>
            <w:shd w:val="clear" w:color="auto" w:fill="auto"/>
            <w:noWrap/>
            <w:vAlign w:val="bottom"/>
            <w:hideMark/>
          </w:tcPr>
          <w:p w14:paraId="7E1B58E0"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9" w:type="dxa"/>
            <w:tcBorders>
              <w:top w:val="nil"/>
              <w:left w:val="nil"/>
              <w:bottom w:val="single" w:sz="4" w:space="0" w:color="auto"/>
              <w:right w:val="single" w:sz="4" w:space="0" w:color="auto"/>
            </w:tcBorders>
            <w:shd w:val="clear" w:color="auto" w:fill="auto"/>
            <w:noWrap/>
            <w:vAlign w:val="bottom"/>
            <w:hideMark/>
          </w:tcPr>
          <w:p w14:paraId="7A2D75B8"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-516 707</w:t>
            </w:r>
          </w:p>
        </w:tc>
        <w:tc>
          <w:tcPr>
            <w:tcW w:w="1047" w:type="dxa"/>
            <w:tcBorders>
              <w:top w:val="nil"/>
              <w:left w:val="nil"/>
              <w:bottom w:val="single" w:sz="4" w:space="0" w:color="auto"/>
              <w:right w:val="single" w:sz="4" w:space="0" w:color="auto"/>
            </w:tcBorders>
            <w:shd w:val="clear" w:color="auto" w:fill="auto"/>
            <w:noWrap/>
            <w:vAlign w:val="bottom"/>
            <w:hideMark/>
          </w:tcPr>
          <w:p w14:paraId="3D0A06DC"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6" w:type="dxa"/>
            <w:tcBorders>
              <w:top w:val="nil"/>
              <w:left w:val="nil"/>
              <w:bottom w:val="single" w:sz="4" w:space="0" w:color="auto"/>
              <w:right w:val="single" w:sz="4" w:space="0" w:color="auto"/>
            </w:tcBorders>
            <w:shd w:val="clear" w:color="auto" w:fill="auto"/>
            <w:noWrap/>
            <w:vAlign w:val="bottom"/>
            <w:hideMark/>
          </w:tcPr>
          <w:p w14:paraId="44B5F8DE" w14:textId="46B3419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w:t>
            </w:r>
            <w:r w:rsidR="00CA43D7">
              <w:rPr>
                <w:rFonts w:eastAsia="Times New Roman" w:cs="Calibri"/>
                <w:color w:val="000000"/>
                <w:sz w:val="18"/>
                <w:szCs w:val="18"/>
                <w:lang w:eastAsia="pl-PL"/>
              </w:rPr>
              <w:t>96 347</w:t>
            </w:r>
          </w:p>
        </w:tc>
        <w:tc>
          <w:tcPr>
            <w:tcW w:w="1047" w:type="dxa"/>
            <w:tcBorders>
              <w:top w:val="nil"/>
              <w:left w:val="nil"/>
              <w:bottom w:val="single" w:sz="4" w:space="0" w:color="auto"/>
              <w:right w:val="single" w:sz="8" w:space="0" w:color="auto"/>
            </w:tcBorders>
            <w:shd w:val="clear" w:color="auto" w:fill="auto"/>
            <w:noWrap/>
            <w:vAlign w:val="bottom"/>
            <w:hideMark/>
          </w:tcPr>
          <w:p w14:paraId="1419396A"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r>
      <w:tr w:rsidR="00732EE9" w:rsidRPr="00F11842" w14:paraId="7AAF9E87" w14:textId="77777777" w:rsidTr="009A0E84">
        <w:trPr>
          <w:trHeight w:val="240"/>
        </w:trPr>
        <w:tc>
          <w:tcPr>
            <w:tcW w:w="3060" w:type="dxa"/>
            <w:gridSpan w:val="2"/>
            <w:tcBorders>
              <w:top w:val="single" w:sz="4" w:space="0" w:color="auto"/>
              <w:left w:val="single" w:sz="8" w:space="0" w:color="auto"/>
              <w:bottom w:val="single" w:sz="4" w:space="0" w:color="auto"/>
              <w:right w:val="single" w:sz="8" w:space="0" w:color="000000"/>
            </w:tcBorders>
            <w:shd w:val="clear" w:color="000000" w:fill="C65911"/>
            <w:noWrap/>
            <w:vAlign w:val="bottom"/>
            <w:hideMark/>
          </w:tcPr>
          <w:p w14:paraId="1FD7BFC2"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Razem dla osi priorytetowej III</w:t>
            </w:r>
          </w:p>
        </w:tc>
        <w:tc>
          <w:tcPr>
            <w:tcW w:w="1116" w:type="dxa"/>
            <w:tcBorders>
              <w:top w:val="nil"/>
              <w:left w:val="nil"/>
              <w:bottom w:val="single" w:sz="4" w:space="0" w:color="auto"/>
              <w:right w:val="single" w:sz="4" w:space="0" w:color="auto"/>
            </w:tcBorders>
            <w:shd w:val="clear" w:color="000000" w:fill="C65911"/>
            <w:noWrap/>
            <w:vAlign w:val="bottom"/>
            <w:hideMark/>
          </w:tcPr>
          <w:p w14:paraId="32E42BF3" w14:textId="75F01A71"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-4</w:t>
            </w:r>
            <w:r w:rsidR="00CA43D7">
              <w:rPr>
                <w:rFonts w:eastAsia="Times New Roman" w:cs="Calibri"/>
                <w:b/>
                <w:bCs/>
                <w:color w:val="FFFFFF"/>
                <w:sz w:val="18"/>
                <w:szCs w:val="18"/>
                <w:lang w:eastAsia="pl-PL"/>
              </w:rPr>
              <w:t> </w:t>
            </w:r>
            <w:r w:rsidRPr="00F11842">
              <w:rPr>
                <w:rFonts w:eastAsia="Times New Roman" w:cs="Calibri"/>
                <w:b/>
                <w:bCs/>
                <w:color w:val="FFFFFF"/>
                <w:sz w:val="18"/>
                <w:szCs w:val="18"/>
                <w:lang w:eastAsia="pl-PL"/>
              </w:rPr>
              <w:t>41</w:t>
            </w:r>
            <w:r w:rsidR="00CA43D7">
              <w:rPr>
                <w:rFonts w:eastAsia="Times New Roman" w:cs="Calibri"/>
                <w:b/>
                <w:bCs/>
                <w:color w:val="FFFFFF"/>
                <w:sz w:val="18"/>
                <w:szCs w:val="18"/>
                <w:lang w:eastAsia="pl-PL"/>
              </w:rPr>
              <w:t>9 094</w:t>
            </w:r>
          </w:p>
        </w:tc>
        <w:tc>
          <w:tcPr>
            <w:tcW w:w="1047" w:type="dxa"/>
            <w:tcBorders>
              <w:top w:val="nil"/>
              <w:left w:val="nil"/>
              <w:bottom w:val="single" w:sz="4" w:space="0" w:color="auto"/>
              <w:right w:val="single" w:sz="4" w:space="0" w:color="auto"/>
            </w:tcBorders>
            <w:shd w:val="clear" w:color="000000" w:fill="C65911"/>
            <w:noWrap/>
            <w:vAlign w:val="bottom"/>
            <w:hideMark/>
          </w:tcPr>
          <w:p w14:paraId="7676E523"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0</w:t>
            </w:r>
          </w:p>
        </w:tc>
        <w:tc>
          <w:tcPr>
            <w:tcW w:w="1119" w:type="dxa"/>
            <w:tcBorders>
              <w:top w:val="nil"/>
              <w:left w:val="nil"/>
              <w:bottom w:val="single" w:sz="4" w:space="0" w:color="auto"/>
              <w:right w:val="single" w:sz="4" w:space="0" w:color="auto"/>
            </w:tcBorders>
            <w:shd w:val="clear" w:color="000000" w:fill="C65911"/>
            <w:noWrap/>
            <w:vAlign w:val="bottom"/>
            <w:hideMark/>
          </w:tcPr>
          <w:p w14:paraId="4A416414"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-3 724 595</w:t>
            </w:r>
          </w:p>
        </w:tc>
        <w:tc>
          <w:tcPr>
            <w:tcW w:w="1047" w:type="dxa"/>
            <w:tcBorders>
              <w:top w:val="nil"/>
              <w:left w:val="nil"/>
              <w:bottom w:val="single" w:sz="4" w:space="0" w:color="auto"/>
              <w:right w:val="single" w:sz="4" w:space="0" w:color="auto"/>
            </w:tcBorders>
            <w:shd w:val="clear" w:color="000000" w:fill="C65911"/>
            <w:noWrap/>
            <w:vAlign w:val="bottom"/>
            <w:hideMark/>
          </w:tcPr>
          <w:p w14:paraId="49A9308D"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0</w:t>
            </w:r>
          </w:p>
        </w:tc>
        <w:tc>
          <w:tcPr>
            <w:tcW w:w="1116" w:type="dxa"/>
            <w:tcBorders>
              <w:top w:val="nil"/>
              <w:left w:val="nil"/>
              <w:bottom w:val="single" w:sz="4" w:space="0" w:color="auto"/>
              <w:right w:val="single" w:sz="4" w:space="0" w:color="auto"/>
            </w:tcBorders>
            <w:shd w:val="clear" w:color="000000" w:fill="C65911"/>
            <w:noWrap/>
            <w:vAlign w:val="bottom"/>
            <w:hideMark/>
          </w:tcPr>
          <w:p w14:paraId="7AB87087" w14:textId="54E8B333"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w:t>
            </w:r>
            <w:r w:rsidR="00CA43D7">
              <w:rPr>
                <w:rFonts w:eastAsia="Times New Roman" w:cs="Calibri"/>
                <w:b/>
                <w:bCs/>
                <w:color w:val="FFFFFF"/>
                <w:sz w:val="18"/>
                <w:szCs w:val="18"/>
                <w:lang w:eastAsia="pl-PL"/>
              </w:rPr>
              <w:t>694 499</w:t>
            </w:r>
          </w:p>
        </w:tc>
        <w:tc>
          <w:tcPr>
            <w:tcW w:w="1047" w:type="dxa"/>
            <w:tcBorders>
              <w:top w:val="nil"/>
              <w:left w:val="nil"/>
              <w:bottom w:val="single" w:sz="4" w:space="0" w:color="auto"/>
              <w:right w:val="single" w:sz="8" w:space="0" w:color="auto"/>
            </w:tcBorders>
            <w:shd w:val="clear" w:color="000000" w:fill="C65911"/>
            <w:noWrap/>
            <w:vAlign w:val="bottom"/>
            <w:hideMark/>
          </w:tcPr>
          <w:p w14:paraId="10C1ED0C"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0</w:t>
            </w:r>
          </w:p>
        </w:tc>
      </w:tr>
      <w:tr w:rsidR="00732EE9" w:rsidRPr="00F11842" w14:paraId="6BAD1325"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3E619196"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8vi</w:t>
            </w:r>
          </w:p>
        </w:tc>
        <w:tc>
          <w:tcPr>
            <w:tcW w:w="1300" w:type="dxa"/>
            <w:tcBorders>
              <w:top w:val="nil"/>
              <w:left w:val="nil"/>
              <w:bottom w:val="single" w:sz="4" w:space="0" w:color="auto"/>
              <w:right w:val="single" w:sz="8" w:space="0" w:color="auto"/>
            </w:tcBorders>
            <w:shd w:val="clear" w:color="auto" w:fill="auto"/>
            <w:noWrap/>
            <w:vAlign w:val="bottom"/>
            <w:hideMark/>
          </w:tcPr>
          <w:p w14:paraId="401AFABD"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5</w:t>
            </w:r>
          </w:p>
        </w:tc>
        <w:tc>
          <w:tcPr>
            <w:tcW w:w="1116" w:type="dxa"/>
            <w:tcBorders>
              <w:top w:val="nil"/>
              <w:left w:val="nil"/>
              <w:bottom w:val="single" w:sz="4" w:space="0" w:color="auto"/>
              <w:right w:val="single" w:sz="4" w:space="0" w:color="auto"/>
            </w:tcBorders>
            <w:shd w:val="clear" w:color="auto" w:fill="auto"/>
            <w:noWrap/>
            <w:vAlign w:val="bottom"/>
            <w:hideMark/>
          </w:tcPr>
          <w:p w14:paraId="6611F6EE" w14:textId="51F3B511"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-1</w:t>
            </w:r>
            <w:r w:rsidR="00CA43D7">
              <w:rPr>
                <w:rFonts w:eastAsia="Times New Roman" w:cs="Calibri"/>
                <w:color w:val="000000"/>
                <w:sz w:val="18"/>
                <w:szCs w:val="18"/>
                <w:lang w:eastAsia="pl-PL"/>
              </w:rPr>
              <w:t> 404 915</w:t>
            </w:r>
          </w:p>
        </w:tc>
        <w:tc>
          <w:tcPr>
            <w:tcW w:w="1047" w:type="dxa"/>
            <w:tcBorders>
              <w:top w:val="nil"/>
              <w:left w:val="nil"/>
              <w:bottom w:val="single" w:sz="4" w:space="0" w:color="auto"/>
              <w:right w:val="single" w:sz="4" w:space="0" w:color="auto"/>
            </w:tcBorders>
            <w:shd w:val="clear" w:color="auto" w:fill="auto"/>
            <w:noWrap/>
            <w:vAlign w:val="bottom"/>
            <w:hideMark/>
          </w:tcPr>
          <w:p w14:paraId="5A3AF33C"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9" w:type="dxa"/>
            <w:tcBorders>
              <w:top w:val="nil"/>
              <w:left w:val="nil"/>
              <w:bottom w:val="single" w:sz="4" w:space="0" w:color="auto"/>
              <w:right w:val="single" w:sz="4" w:space="0" w:color="auto"/>
            </w:tcBorders>
            <w:shd w:val="clear" w:color="auto" w:fill="auto"/>
            <w:noWrap/>
            <w:vAlign w:val="bottom"/>
            <w:hideMark/>
          </w:tcPr>
          <w:p w14:paraId="2292186B"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-1 184 120</w:t>
            </w:r>
          </w:p>
        </w:tc>
        <w:tc>
          <w:tcPr>
            <w:tcW w:w="1047" w:type="dxa"/>
            <w:tcBorders>
              <w:top w:val="nil"/>
              <w:left w:val="nil"/>
              <w:bottom w:val="single" w:sz="4" w:space="0" w:color="auto"/>
              <w:right w:val="single" w:sz="4" w:space="0" w:color="auto"/>
            </w:tcBorders>
            <w:shd w:val="clear" w:color="auto" w:fill="auto"/>
            <w:noWrap/>
            <w:vAlign w:val="bottom"/>
            <w:hideMark/>
          </w:tcPr>
          <w:p w14:paraId="59BF8F9F"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6" w:type="dxa"/>
            <w:tcBorders>
              <w:top w:val="nil"/>
              <w:left w:val="nil"/>
              <w:bottom w:val="single" w:sz="4" w:space="0" w:color="auto"/>
              <w:right w:val="single" w:sz="4" w:space="0" w:color="auto"/>
            </w:tcBorders>
            <w:shd w:val="clear" w:color="auto" w:fill="auto"/>
            <w:noWrap/>
            <w:vAlign w:val="bottom"/>
            <w:hideMark/>
          </w:tcPr>
          <w:p w14:paraId="24F59CEE" w14:textId="1B439211"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w:t>
            </w:r>
            <w:r w:rsidR="00CA43D7">
              <w:rPr>
                <w:rFonts w:eastAsia="Times New Roman" w:cs="Calibri"/>
                <w:color w:val="000000"/>
                <w:sz w:val="18"/>
                <w:szCs w:val="18"/>
                <w:lang w:eastAsia="pl-PL"/>
              </w:rPr>
              <w:t>220 795</w:t>
            </w:r>
          </w:p>
        </w:tc>
        <w:tc>
          <w:tcPr>
            <w:tcW w:w="1047" w:type="dxa"/>
            <w:tcBorders>
              <w:top w:val="nil"/>
              <w:left w:val="nil"/>
              <w:bottom w:val="single" w:sz="4" w:space="0" w:color="auto"/>
              <w:right w:val="single" w:sz="8" w:space="0" w:color="auto"/>
            </w:tcBorders>
            <w:shd w:val="clear" w:color="auto" w:fill="auto"/>
            <w:noWrap/>
            <w:vAlign w:val="bottom"/>
            <w:hideMark/>
          </w:tcPr>
          <w:p w14:paraId="7D922BF3"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r>
      <w:tr w:rsidR="00732EE9" w:rsidRPr="00F11842" w14:paraId="4397B3FC"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69C454AC"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9iv</w:t>
            </w:r>
          </w:p>
        </w:tc>
        <w:tc>
          <w:tcPr>
            <w:tcW w:w="1300" w:type="dxa"/>
            <w:tcBorders>
              <w:top w:val="nil"/>
              <w:left w:val="nil"/>
              <w:bottom w:val="single" w:sz="4" w:space="0" w:color="auto"/>
              <w:right w:val="single" w:sz="8" w:space="0" w:color="auto"/>
            </w:tcBorders>
            <w:shd w:val="clear" w:color="auto" w:fill="auto"/>
            <w:noWrap/>
            <w:vAlign w:val="bottom"/>
            <w:hideMark/>
          </w:tcPr>
          <w:p w14:paraId="2BF1296C"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5</w:t>
            </w:r>
          </w:p>
        </w:tc>
        <w:tc>
          <w:tcPr>
            <w:tcW w:w="1116" w:type="dxa"/>
            <w:tcBorders>
              <w:top w:val="nil"/>
              <w:left w:val="nil"/>
              <w:bottom w:val="single" w:sz="4" w:space="0" w:color="auto"/>
              <w:right w:val="single" w:sz="4" w:space="0" w:color="auto"/>
            </w:tcBorders>
            <w:shd w:val="clear" w:color="auto" w:fill="auto"/>
            <w:noWrap/>
            <w:vAlign w:val="bottom"/>
            <w:hideMark/>
          </w:tcPr>
          <w:p w14:paraId="5DCECD07"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047" w:type="dxa"/>
            <w:tcBorders>
              <w:top w:val="nil"/>
              <w:left w:val="nil"/>
              <w:bottom w:val="single" w:sz="4" w:space="0" w:color="auto"/>
              <w:right w:val="single" w:sz="4" w:space="0" w:color="auto"/>
            </w:tcBorders>
            <w:shd w:val="clear" w:color="auto" w:fill="auto"/>
            <w:noWrap/>
            <w:vAlign w:val="bottom"/>
            <w:hideMark/>
          </w:tcPr>
          <w:p w14:paraId="619C799B" w14:textId="5D91856F"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6</w:t>
            </w:r>
            <w:r w:rsidR="00CA43D7">
              <w:rPr>
                <w:rFonts w:eastAsia="Times New Roman" w:cs="Calibri"/>
                <w:color w:val="000000"/>
                <w:sz w:val="18"/>
                <w:szCs w:val="18"/>
                <w:lang w:eastAsia="pl-PL"/>
              </w:rPr>
              <w:t> 002 819</w:t>
            </w:r>
          </w:p>
        </w:tc>
        <w:tc>
          <w:tcPr>
            <w:tcW w:w="1119" w:type="dxa"/>
            <w:tcBorders>
              <w:top w:val="nil"/>
              <w:left w:val="nil"/>
              <w:bottom w:val="single" w:sz="4" w:space="0" w:color="auto"/>
              <w:right w:val="single" w:sz="4" w:space="0" w:color="auto"/>
            </w:tcBorders>
            <w:shd w:val="clear" w:color="auto" w:fill="auto"/>
            <w:noWrap/>
            <w:vAlign w:val="bottom"/>
            <w:hideMark/>
          </w:tcPr>
          <w:p w14:paraId="4AF21702"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047" w:type="dxa"/>
            <w:tcBorders>
              <w:top w:val="nil"/>
              <w:left w:val="nil"/>
              <w:bottom w:val="single" w:sz="4" w:space="0" w:color="auto"/>
              <w:right w:val="single" w:sz="4" w:space="0" w:color="auto"/>
            </w:tcBorders>
            <w:shd w:val="clear" w:color="auto" w:fill="auto"/>
            <w:noWrap/>
            <w:vAlign w:val="bottom"/>
            <w:hideMark/>
          </w:tcPr>
          <w:p w14:paraId="4469908D"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5 059 422</w:t>
            </w:r>
          </w:p>
        </w:tc>
        <w:tc>
          <w:tcPr>
            <w:tcW w:w="1116" w:type="dxa"/>
            <w:tcBorders>
              <w:top w:val="nil"/>
              <w:left w:val="nil"/>
              <w:bottom w:val="single" w:sz="4" w:space="0" w:color="auto"/>
              <w:right w:val="single" w:sz="4" w:space="0" w:color="auto"/>
            </w:tcBorders>
            <w:shd w:val="clear" w:color="auto" w:fill="auto"/>
            <w:noWrap/>
            <w:vAlign w:val="bottom"/>
            <w:hideMark/>
          </w:tcPr>
          <w:p w14:paraId="20DB4F7C"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047" w:type="dxa"/>
            <w:tcBorders>
              <w:top w:val="nil"/>
              <w:left w:val="nil"/>
              <w:bottom w:val="single" w:sz="4" w:space="0" w:color="auto"/>
              <w:right w:val="single" w:sz="8" w:space="0" w:color="auto"/>
            </w:tcBorders>
            <w:shd w:val="clear" w:color="auto" w:fill="auto"/>
            <w:noWrap/>
            <w:vAlign w:val="bottom"/>
            <w:hideMark/>
          </w:tcPr>
          <w:p w14:paraId="18850EDB" w14:textId="38949A51" w:rsidR="00732EE9" w:rsidRPr="00F11842" w:rsidRDefault="00CA43D7" w:rsidP="00732EE9">
            <w:pPr>
              <w:spacing w:before="60" w:after="60" w:line="360" w:lineRule="auto"/>
              <w:jc w:val="right"/>
              <w:rPr>
                <w:rFonts w:eastAsia="Times New Roman" w:cs="Calibri"/>
                <w:color w:val="000000"/>
                <w:sz w:val="18"/>
                <w:szCs w:val="18"/>
                <w:lang w:eastAsia="pl-PL"/>
              </w:rPr>
            </w:pPr>
            <w:r>
              <w:rPr>
                <w:rFonts w:eastAsia="Times New Roman" w:cs="Calibri"/>
                <w:color w:val="000000"/>
                <w:sz w:val="18"/>
                <w:szCs w:val="18"/>
                <w:lang w:eastAsia="pl-PL"/>
              </w:rPr>
              <w:t>943 397</w:t>
            </w:r>
          </w:p>
        </w:tc>
      </w:tr>
      <w:tr w:rsidR="00732EE9" w:rsidRPr="00F11842" w14:paraId="493E5A62"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2DE0AEE1"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10ii</w:t>
            </w:r>
          </w:p>
        </w:tc>
        <w:tc>
          <w:tcPr>
            <w:tcW w:w="1300" w:type="dxa"/>
            <w:tcBorders>
              <w:top w:val="nil"/>
              <w:left w:val="nil"/>
              <w:bottom w:val="single" w:sz="4" w:space="0" w:color="auto"/>
              <w:right w:val="single" w:sz="8" w:space="0" w:color="auto"/>
            </w:tcBorders>
            <w:shd w:val="clear" w:color="auto" w:fill="auto"/>
            <w:noWrap/>
            <w:vAlign w:val="bottom"/>
            <w:hideMark/>
          </w:tcPr>
          <w:p w14:paraId="1FA1A989"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5</w:t>
            </w:r>
          </w:p>
        </w:tc>
        <w:tc>
          <w:tcPr>
            <w:tcW w:w="1116" w:type="dxa"/>
            <w:tcBorders>
              <w:top w:val="nil"/>
              <w:left w:val="nil"/>
              <w:bottom w:val="single" w:sz="4" w:space="0" w:color="auto"/>
              <w:right w:val="single" w:sz="4" w:space="0" w:color="auto"/>
            </w:tcBorders>
            <w:shd w:val="clear" w:color="auto" w:fill="auto"/>
            <w:noWrap/>
            <w:vAlign w:val="bottom"/>
            <w:hideMark/>
          </w:tcPr>
          <w:p w14:paraId="17F19E4D" w14:textId="485D9973"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-3</w:t>
            </w:r>
            <w:r w:rsidR="00CA43D7">
              <w:rPr>
                <w:rFonts w:eastAsia="Times New Roman" w:cs="Calibri"/>
                <w:color w:val="000000"/>
                <w:sz w:val="18"/>
                <w:szCs w:val="18"/>
                <w:lang w:eastAsia="pl-PL"/>
              </w:rPr>
              <w:t> 320 708</w:t>
            </w:r>
          </w:p>
        </w:tc>
        <w:tc>
          <w:tcPr>
            <w:tcW w:w="1047" w:type="dxa"/>
            <w:tcBorders>
              <w:top w:val="nil"/>
              <w:left w:val="nil"/>
              <w:bottom w:val="single" w:sz="4" w:space="0" w:color="auto"/>
              <w:right w:val="single" w:sz="4" w:space="0" w:color="auto"/>
            </w:tcBorders>
            <w:shd w:val="clear" w:color="auto" w:fill="auto"/>
            <w:noWrap/>
            <w:vAlign w:val="bottom"/>
            <w:hideMark/>
          </w:tcPr>
          <w:p w14:paraId="2B52A5EC"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9" w:type="dxa"/>
            <w:tcBorders>
              <w:top w:val="nil"/>
              <w:left w:val="nil"/>
              <w:bottom w:val="single" w:sz="4" w:space="0" w:color="auto"/>
              <w:right w:val="single" w:sz="4" w:space="0" w:color="auto"/>
            </w:tcBorders>
            <w:shd w:val="clear" w:color="auto" w:fill="auto"/>
            <w:noWrap/>
            <w:vAlign w:val="bottom"/>
            <w:hideMark/>
          </w:tcPr>
          <w:p w14:paraId="1CB4202F"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-2 798 829</w:t>
            </w:r>
          </w:p>
        </w:tc>
        <w:tc>
          <w:tcPr>
            <w:tcW w:w="1047" w:type="dxa"/>
            <w:tcBorders>
              <w:top w:val="nil"/>
              <w:left w:val="nil"/>
              <w:bottom w:val="single" w:sz="4" w:space="0" w:color="auto"/>
              <w:right w:val="single" w:sz="4" w:space="0" w:color="auto"/>
            </w:tcBorders>
            <w:shd w:val="clear" w:color="auto" w:fill="auto"/>
            <w:noWrap/>
            <w:vAlign w:val="bottom"/>
            <w:hideMark/>
          </w:tcPr>
          <w:p w14:paraId="45436F8F"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6" w:type="dxa"/>
            <w:tcBorders>
              <w:top w:val="nil"/>
              <w:left w:val="nil"/>
              <w:bottom w:val="single" w:sz="4" w:space="0" w:color="auto"/>
              <w:right w:val="single" w:sz="4" w:space="0" w:color="auto"/>
            </w:tcBorders>
            <w:shd w:val="clear" w:color="auto" w:fill="auto"/>
            <w:noWrap/>
            <w:vAlign w:val="bottom"/>
            <w:hideMark/>
          </w:tcPr>
          <w:p w14:paraId="471B9B8A" w14:textId="28349AE5"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w:t>
            </w:r>
            <w:r w:rsidR="00CA43D7">
              <w:rPr>
                <w:rFonts w:eastAsia="Times New Roman" w:cs="Calibri"/>
                <w:color w:val="000000"/>
                <w:sz w:val="18"/>
                <w:szCs w:val="18"/>
                <w:lang w:eastAsia="pl-PL"/>
              </w:rPr>
              <w:t>521 879</w:t>
            </w:r>
          </w:p>
        </w:tc>
        <w:tc>
          <w:tcPr>
            <w:tcW w:w="1047" w:type="dxa"/>
            <w:tcBorders>
              <w:top w:val="nil"/>
              <w:left w:val="nil"/>
              <w:bottom w:val="single" w:sz="4" w:space="0" w:color="auto"/>
              <w:right w:val="single" w:sz="8" w:space="0" w:color="auto"/>
            </w:tcBorders>
            <w:shd w:val="clear" w:color="auto" w:fill="auto"/>
            <w:noWrap/>
            <w:vAlign w:val="bottom"/>
            <w:hideMark/>
          </w:tcPr>
          <w:p w14:paraId="092AC7C4"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r>
      <w:tr w:rsidR="00732EE9" w:rsidRPr="00F11842" w14:paraId="5178FDDF" w14:textId="77777777" w:rsidTr="009A0E84">
        <w:trPr>
          <w:trHeight w:val="24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14:paraId="781E3392"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10iii</w:t>
            </w:r>
          </w:p>
        </w:tc>
        <w:tc>
          <w:tcPr>
            <w:tcW w:w="1300" w:type="dxa"/>
            <w:tcBorders>
              <w:top w:val="nil"/>
              <w:left w:val="nil"/>
              <w:bottom w:val="single" w:sz="4" w:space="0" w:color="auto"/>
              <w:right w:val="single" w:sz="8" w:space="0" w:color="auto"/>
            </w:tcBorders>
            <w:shd w:val="clear" w:color="auto" w:fill="auto"/>
            <w:noWrap/>
            <w:vAlign w:val="bottom"/>
            <w:hideMark/>
          </w:tcPr>
          <w:p w14:paraId="39AD5D4D" w14:textId="77777777" w:rsidR="00732EE9" w:rsidRPr="00F11842" w:rsidRDefault="00732EE9" w:rsidP="00732EE9">
            <w:pPr>
              <w:spacing w:before="60" w:after="60" w:line="360" w:lineRule="auto"/>
              <w:jc w:val="center"/>
              <w:rPr>
                <w:rFonts w:eastAsia="Times New Roman" w:cs="Calibri"/>
                <w:color w:val="000000"/>
                <w:sz w:val="18"/>
                <w:szCs w:val="18"/>
                <w:lang w:eastAsia="pl-PL"/>
              </w:rPr>
            </w:pPr>
            <w:r w:rsidRPr="00F11842">
              <w:rPr>
                <w:rFonts w:eastAsia="Times New Roman" w:cs="Calibri"/>
                <w:color w:val="000000"/>
                <w:sz w:val="18"/>
                <w:szCs w:val="18"/>
                <w:lang w:eastAsia="pl-PL"/>
              </w:rPr>
              <w:t>5</w:t>
            </w:r>
          </w:p>
        </w:tc>
        <w:tc>
          <w:tcPr>
            <w:tcW w:w="1116" w:type="dxa"/>
            <w:tcBorders>
              <w:top w:val="nil"/>
              <w:left w:val="nil"/>
              <w:bottom w:val="single" w:sz="4" w:space="0" w:color="auto"/>
              <w:right w:val="single" w:sz="4" w:space="0" w:color="auto"/>
            </w:tcBorders>
            <w:shd w:val="clear" w:color="auto" w:fill="auto"/>
            <w:noWrap/>
            <w:vAlign w:val="bottom"/>
            <w:hideMark/>
          </w:tcPr>
          <w:p w14:paraId="4AE13727" w14:textId="438ACEF6"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-1</w:t>
            </w:r>
            <w:r w:rsidR="00CA43D7">
              <w:rPr>
                <w:rFonts w:eastAsia="Times New Roman" w:cs="Calibri"/>
                <w:color w:val="000000"/>
                <w:sz w:val="18"/>
                <w:szCs w:val="18"/>
                <w:lang w:eastAsia="pl-PL"/>
              </w:rPr>
              <w:t> 277 196</w:t>
            </w:r>
          </w:p>
        </w:tc>
        <w:tc>
          <w:tcPr>
            <w:tcW w:w="1047" w:type="dxa"/>
            <w:tcBorders>
              <w:top w:val="nil"/>
              <w:left w:val="nil"/>
              <w:bottom w:val="single" w:sz="4" w:space="0" w:color="auto"/>
              <w:right w:val="single" w:sz="4" w:space="0" w:color="auto"/>
            </w:tcBorders>
            <w:shd w:val="clear" w:color="auto" w:fill="auto"/>
            <w:noWrap/>
            <w:vAlign w:val="bottom"/>
            <w:hideMark/>
          </w:tcPr>
          <w:p w14:paraId="3D0DA763"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9" w:type="dxa"/>
            <w:tcBorders>
              <w:top w:val="nil"/>
              <w:left w:val="nil"/>
              <w:bottom w:val="single" w:sz="4" w:space="0" w:color="auto"/>
              <w:right w:val="single" w:sz="4" w:space="0" w:color="auto"/>
            </w:tcBorders>
            <w:shd w:val="clear" w:color="auto" w:fill="auto"/>
            <w:noWrap/>
            <w:vAlign w:val="bottom"/>
            <w:hideMark/>
          </w:tcPr>
          <w:p w14:paraId="4FDB6119" w14:textId="77777777"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-1 076 473</w:t>
            </w:r>
          </w:p>
        </w:tc>
        <w:tc>
          <w:tcPr>
            <w:tcW w:w="1047" w:type="dxa"/>
            <w:tcBorders>
              <w:top w:val="nil"/>
              <w:left w:val="nil"/>
              <w:bottom w:val="single" w:sz="4" w:space="0" w:color="auto"/>
              <w:right w:val="single" w:sz="4" w:space="0" w:color="auto"/>
            </w:tcBorders>
            <w:shd w:val="clear" w:color="auto" w:fill="auto"/>
            <w:noWrap/>
            <w:vAlign w:val="bottom"/>
            <w:hideMark/>
          </w:tcPr>
          <w:p w14:paraId="2E28D7A5"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c>
          <w:tcPr>
            <w:tcW w:w="1116" w:type="dxa"/>
            <w:tcBorders>
              <w:top w:val="nil"/>
              <w:left w:val="nil"/>
              <w:bottom w:val="single" w:sz="4" w:space="0" w:color="auto"/>
              <w:right w:val="single" w:sz="4" w:space="0" w:color="auto"/>
            </w:tcBorders>
            <w:shd w:val="clear" w:color="auto" w:fill="auto"/>
            <w:noWrap/>
            <w:vAlign w:val="bottom"/>
            <w:hideMark/>
          </w:tcPr>
          <w:p w14:paraId="6FE5AD6E" w14:textId="539D3AD3" w:rsidR="00732EE9" w:rsidRPr="00F11842" w:rsidRDefault="00732EE9" w:rsidP="00732EE9">
            <w:pPr>
              <w:spacing w:before="60" w:after="60" w:line="360" w:lineRule="auto"/>
              <w:jc w:val="right"/>
              <w:rPr>
                <w:rFonts w:eastAsia="Times New Roman" w:cs="Calibri"/>
                <w:color w:val="000000"/>
                <w:sz w:val="18"/>
                <w:szCs w:val="18"/>
                <w:lang w:eastAsia="pl-PL"/>
              </w:rPr>
            </w:pPr>
            <w:r w:rsidRPr="00F11842">
              <w:rPr>
                <w:rFonts w:eastAsia="Times New Roman" w:cs="Calibri"/>
                <w:color w:val="000000"/>
                <w:sz w:val="18"/>
                <w:szCs w:val="18"/>
                <w:lang w:eastAsia="pl-PL"/>
              </w:rPr>
              <w:t>-</w:t>
            </w:r>
            <w:r w:rsidR="00CA43D7">
              <w:rPr>
                <w:rFonts w:eastAsia="Times New Roman" w:cs="Calibri"/>
                <w:color w:val="000000"/>
                <w:sz w:val="18"/>
                <w:szCs w:val="18"/>
                <w:lang w:eastAsia="pl-PL"/>
              </w:rPr>
              <w:t>200 723</w:t>
            </w:r>
          </w:p>
        </w:tc>
        <w:tc>
          <w:tcPr>
            <w:tcW w:w="1047" w:type="dxa"/>
            <w:tcBorders>
              <w:top w:val="nil"/>
              <w:left w:val="nil"/>
              <w:bottom w:val="single" w:sz="4" w:space="0" w:color="auto"/>
              <w:right w:val="single" w:sz="8" w:space="0" w:color="auto"/>
            </w:tcBorders>
            <w:shd w:val="clear" w:color="auto" w:fill="auto"/>
            <w:noWrap/>
            <w:vAlign w:val="bottom"/>
            <w:hideMark/>
          </w:tcPr>
          <w:p w14:paraId="593B42A8" w14:textId="77777777" w:rsidR="00732EE9" w:rsidRPr="00F11842" w:rsidRDefault="00732EE9" w:rsidP="00732EE9">
            <w:pPr>
              <w:spacing w:before="60" w:after="60" w:line="360" w:lineRule="auto"/>
              <w:rPr>
                <w:rFonts w:eastAsia="Times New Roman" w:cs="Calibri"/>
                <w:color w:val="000000"/>
                <w:sz w:val="18"/>
                <w:szCs w:val="18"/>
                <w:lang w:eastAsia="pl-PL"/>
              </w:rPr>
            </w:pPr>
            <w:r w:rsidRPr="00F11842">
              <w:rPr>
                <w:rFonts w:eastAsia="Times New Roman" w:cs="Calibri"/>
                <w:color w:val="000000"/>
                <w:sz w:val="18"/>
                <w:szCs w:val="18"/>
                <w:lang w:eastAsia="pl-PL"/>
              </w:rPr>
              <w:t> </w:t>
            </w:r>
          </w:p>
        </w:tc>
      </w:tr>
      <w:tr w:rsidR="00732EE9" w:rsidRPr="00F11842" w14:paraId="43E390C2" w14:textId="77777777" w:rsidTr="009A0E84">
        <w:trPr>
          <w:trHeight w:val="240"/>
        </w:trPr>
        <w:tc>
          <w:tcPr>
            <w:tcW w:w="3060" w:type="dxa"/>
            <w:gridSpan w:val="2"/>
            <w:tcBorders>
              <w:top w:val="single" w:sz="4" w:space="0" w:color="auto"/>
              <w:left w:val="single" w:sz="8" w:space="0" w:color="auto"/>
              <w:bottom w:val="single" w:sz="4" w:space="0" w:color="auto"/>
              <w:right w:val="single" w:sz="8" w:space="0" w:color="000000"/>
            </w:tcBorders>
            <w:shd w:val="clear" w:color="000000" w:fill="C65911"/>
            <w:noWrap/>
            <w:vAlign w:val="bottom"/>
            <w:hideMark/>
          </w:tcPr>
          <w:p w14:paraId="29B041DC"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Razem dla osi priorytetowej V</w:t>
            </w:r>
          </w:p>
        </w:tc>
        <w:tc>
          <w:tcPr>
            <w:tcW w:w="1116" w:type="dxa"/>
            <w:tcBorders>
              <w:top w:val="nil"/>
              <w:left w:val="nil"/>
              <w:bottom w:val="single" w:sz="4" w:space="0" w:color="auto"/>
              <w:right w:val="single" w:sz="4" w:space="0" w:color="auto"/>
            </w:tcBorders>
            <w:shd w:val="clear" w:color="000000" w:fill="C65911"/>
            <w:noWrap/>
            <w:vAlign w:val="bottom"/>
            <w:hideMark/>
          </w:tcPr>
          <w:p w14:paraId="69DB5356" w14:textId="77589DA8"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-6</w:t>
            </w:r>
            <w:r w:rsidR="00CA43D7">
              <w:rPr>
                <w:rFonts w:eastAsia="Times New Roman" w:cs="Calibri"/>
                <w:b/>
                <w:bCs/>
                <w:color w:val="FFFFFF"/>
                <w:sz w:val="18"/>
                <w:szCs w:val="18"/>
                <w:lang w:eastAsia="pl-PL"/>
              </w:rPr>
              <w:t> 002 819</w:t>
            </w:r>
          </w:p>
        </w:tc>
        <w:tc>
          <w:tcPr>
            <w:tcW w:w="1047" w:type="dxa"/>
            <w:tcBorders>
              <w:top w:val="nil"/>
              <w:left w:val="nil"/>
              <w:bottom w:val="single" w:sz="4" w:space="0" w:color="auto"/>
              <w:right w:val="single" w:sz="4" w:space="0" w:color="auto"/>
            </w:tcBorders>
            <w:shd w:val="clear" w:color="000000" w:fill="C65911"/>
            <w:noWrap/>
            <w:vAlign w:val="bottom"/>
            <w:hideMark/>
          </w:tcPr>
          <w:p w14:paraId="1E18EFD9" w14:textId="31C7F17C"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6</w:t>
            </w:r>
            <w:r w:rsidR="00CA43D7">
              <w:rPr>
                <w:rFonts w:eastAsia="Times New Roman" w:cs="Calibri"/>
                <w:b/>
                <w:bCs/>
                <w:color w:val="FFFFFF"/>
                <w:sz w:val="18"/>
                <w:szCs w:val="18"/>
                <w:lang w:eastAsia="pl-PL"/>
              </w:rPr>
              <w:t> 002 819</w:t>
            </w:r>
          </w:p>
        </w:tc>
        <w:tc>
          <w:tcPr>
            <w:tcW w:w="1119" w:type="dxa"/>
            <w:tcBorders>
              <w:top w:val="nil"/>
              <w:left w:val="nil"/>
              <w:bottom w:val="single" w:sz="4" w:space="0" w:color="auto"/>
              <w:right w:val="single" w:sz="4" w:space="0" w:color="auto"/>
            </w:tcBorders>
            <w:shd w:val="clear" w:color="000000" w:fill="C65911"/>
            <w:noWrap/>
            <w:vAlign w:val="bottom"/>
            <w:hideMark/>
          </w:tcPr>
          <w:p w14:paraId="3DB616FF"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-5 059 422</w:t>
            </w:r>
          </w:p>
        </w:tc>
        <w:tc>
          <w:tcPr>
            <w:tcW w:w="1047" w:type="dxa"/>
            <w:tcBorders>
              <w:top w:val="nil"/>
              <w:left w:val="nil"/>
              <w:bottom w:val="single" w:sz="4" w:space="0" w:color="auto"/>
              <w:right w:val="single" w:sz="4" w:space="0" w:color="auto"/>
            </w:tcBorders>
            <w:shd w:val="clear" w:color="000000" w:fill="C65911"/>
            <w:noWrap/>
            <w:vAlign w:val="bottom"/>
            <w:hideMark/>
          </w:tcPr>
          <w:p w14:paraId="0D9D1333"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5 059 422</w:t>
            </w:r>
          </w:p>
        </w:tc>
        <w:tc>
          <w:tcPr>
            <w:tcW w:w="1116" w:type="dxa"/>
            <w:tcBorders>
              <w:top w:val="nil"/>
              <w:left w:val="nil"/>
              <w:bottom w:val="single" w:sz="4" w:space="0" w:color="auto"/>
              <w:right w:val="single" w:sz="4" w:space="0" w:color="auto"/>
            </w:tcBorders>
            <w:shd w:val="clear" w:color="000000" w:fill="C65911"/>
            <w:noWrap/>
            <w:vAlign w:val="bottom"/>
            <w:hideMark/>
          </w:tcPr>
          <w:p w14:paraId="5DF647D8" w14:textId="5357C3C1"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w:t>
            </w:r>
            <w:r w:rsidR="00CA43D7">
              <w:rPr>
                <w:rFonts w:eastAsia="Times New Roman" w:cs="Calibri"/>
                <w:b/>
                <w:bCs/>
                <w:color w:val="FFFFFF"/>
                <w:sz w:val="18"/>
                <w:szCs w:val="18"/>
                <w:lang w:eastAsia="pl-PL"/>
              </w:rPr>
              <w:t>943 397</w:t>
            </w:r>
          </w:p>
        </w:tc>
        <w:tc>
          <w:tcPr>
            <w:tcW w:w="1047" w:type="dxa"/>
            <w:tcBorders>
              <w:top w:val="nil"/>
              <w:left w:val="nil"/>
              <w:bottom w:val="single" w:sz="4" w:space="0" w:color="auto"/>
              <w:right w:val="single" w:sz="8" w:space="0" w:color="auto"/>
            </w:tcBorders>
            <w:shd w:val="clear" w:color="000000" w:fill="C65911"/>
            <w:noWrap/>
            <w:vAlign w:val="bottom"/>
            <w:hideMark/>
          </w:tcPr>
          <w:p w14:paraId="4C2F0BC6" w14:textId="507F8220" w:rsidR="00732EE9" w:rsidRPr="00F11842" w:rsidRDefault="00CA43D7" w:rsidP="00732EE9">
            <w:pPr>
              <w:spacing w:before="60" w:after="60" w:line="360" w:lineRule="auto"/>
              <w:jc w:val="right"/>
              <w:rPr>
                <w:rFonts w:eastAsia="Times New Roman" w:cs="Calibri"/>
                <w:b/>
                <w:bCs/>
                <w:color w:val="FFFFFF"/>
                <w:sz w:val="18"/>
                <w:szCs w:val="18"/>
                <w:lang w:eastAsia="pl-PL"/>
              </w:rPr>
            </w:pPr>
            <w:r>
              <w:rPr>
                <w:rFonts w:eastAsia="Times New Roman" w:cs="Calibri"/>
                <w:b/>
                <w:bCs/>
                <w:color w:val="FFFFFF"/>
                <w:sz w:val="18"/>
                <w:szCs w:val="18"/>
                <w:lang w:eastAsia="pl-PL"/>
              </w:rPr>
              <w:t>943 397</w:t>
            </w:r>
          </w:p>
        </w:tc>
      </w:tr>
      <w:tr w:rsidR="00732EE9" w:rsidRPr="00F11842" w14:paraId="55B41BF8" w14:textId="77777777" w:rsidTr="009A0E84">
        <w:trPr>
          <w:trHeight w:val="252"/>
        </w:trPr>
        <w:tc>
          <w:tcPr>
            <w:tcW w:w="3060" w:type="dxa"/>
            <w:gridSpan w:val="2"/>
            <w:tcBorders>
              <w:top w:val="single" w:sz="4" w:space="0" w:color="auto"/>
              <w:left w:val="single" w:sz="8" w:space="0" w:color="auto"/>
              <w:bottom w:val="single" w:sz="8" w:space="0" w:color="auto"/>
              <w:right w:val="single" w:sz="8" w:space="0" w:color="000000"/>
            </w:tcBorders>
            <w:shd w:val="clear" w:color="000000" w:fill="C65911"/>
            <w:noWrap/>
            <w:vAlign w:val="bottom"/>
            <w:hideMark/>
          </w:tcPr>
          <w:p w14:paraId="0C35368D" w14:textId="77777777" w:rsidR="00732EE9" w:rsidRPr="00F11842" w:rsidRDefault="00732EE9" w:rsidP="00732EE9">
            <w:pPr>
              <w:spacing w:before="60" w:after="60" w:line="360" w:lineRule="auto"/>
              <w:jc w:val="center"/>
              <w:rPr>
                <w:rFonts w:eastAsia="Times New Roman" w:cs="Calibri"/>
                <w:b/>
                <w:bCs/>
                <w:color w:val="FFFFFF"/>
                <w:sz w:val="18"/>
                <w:szCs w:val="18"/>
                <w:lang w:eastAsia="pl-PL"/>
              </w:rPr>
            </w:pPr>
            <w:r w:rsidRPr="00F11842">
              <w:rPr>
                <w:rFonts w:eastAsia="Times New Roman" w:cs="Calibri"/>
                <w:b/>
                <w:bCs/>
                <w:color w:val="FFFFFF"/>
                <w:sz w:val="18"/>
                <w:szCs w:val="18"/>
                <w:lang w:eastAsia="pl-PL"/>
              </w:rPr>
              <w:t>Razem dla PO WER:</w:t>
            </w:r>
          </w:p>
        </w:tc>
        <w:tc>
          <w:tcPr>
            <w:tcW w:w="1116" w:type="dxa"/>
            <w:tcBorders>
              <w:top w:val="nil"/>
              <w:left w:val="nil"/>
              <w:bottom w:val="single" w:sz="8" w:space="0" w:color="auto"/>
              <w:right w:val="single" w:sz="4" w:space="0" w:color="auto"/>
            </w:tcBorders>
            <w:shd w:val="clear" w:color="000000" w:fill="C65911"/>
            <w:noWrap/>
            <w:vAlign w:val="bottom"/>
            <w:hideMark/>
          </w:tcPr>
          <w:p w14:paraId="707A6B0E" w14:textId="5E12274A"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-16</w:t>
            </w:r>
            <w:r w:rsidR="00CA43D7">
              <w:rPr>
                <w:rFonts w:eastAsia="Times New Roman" w:cs="Calibri"/>
                <w:b/>
                <w:bCs/>
                <w:color w:val="FFFFFF"/>
                <w:sz w:val="18"/>
                <w:szCs w:val="18"/>
                <w:lang w:eastAsia="pl-PL"/>
              </w:rPr>
              <w:t> 731 258</w:t>
            </w:r>
          </w:p>
        </w:tc>
        <w:tc>
          <w:tcPr>
            <w:tcW w:w="1047" w:type="dxa"/>
            <w:tcBorders>
              <w:top w:val="nil"/>
              <w:left w:val="nil"/>
              <w:bottom w:val="single" w:sz="8" w:space="0" w:color="auto"/>
              <w:right w:val="single" w:sz="4" w:space="0" w:color="auto"/>
            </w:tcBorders>
            <w:shd w:val="clear" w:color="000000" w:fill="C65911"/>
            <w:noWrap/>
            <w:vAlign w:val="bottom"/>
            <w:hideMark/>
          </w:tcPr>
          <w:p w14:paraId="2369DBE4" w14:textId="324CF5AC"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16</w:t>
            </w:r>
            <w:r w:rsidR="00CA43D7">
              <w:rPr>
                <w:rFonts w:eastAsia="Times New Roman" w:cs="Calibri"/>
                <w:b/>
                <w:bCs/>
                <w:color w:val="FFFFFF"/>
                <w:sz w:val="18"/>
                <w:szCs w:val="18"/>
                <w:lang w:eastAsia="pl-PL"/>
              </w:rPr>
              <w:t> 731 260</w:t>
            </w:r>
          </w:p>
        </w:tc>
        <w:tc>
          <w:tcPr>
            <w:tcW w:w="1119" w:type="dxa"/>
            <w:tcBorders>
              <w:top w:val="nil"/>
              <w:left w:val="nil"/>
              <w:bottom w:val="single" w:sz="8" w:space="0" w:color="auto"/>
              <w:right w:val="single" w:sz="4" w:space="0" w:color="auto"/>
            </w:tcBorders>
            <w:shd w:val="clear" w:color="000000" w:fill="C65911"/>
            <w:noWrap/>
            <w:vAlign w:val="bottom"/>
            <w:hideMark/>
          </w:tcPr>
          <w:p w14:paraId="2F259192"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-14 101 792</w:t>
            </w:r>
          </w:p>
        </w:tc>
        <w:tc>
          <w:tcPr>
            <w:tcW w:w="1047" w:type="dxa"/>
            <w:tcBorders>
              <w:top w:val="nil"/>
              <w:left w:val="nil"/>
              <w:bottom w:val="single" w:sz="8" w:space="0" w:color="auto"/>
              <w:right w:val="single" w:sz="4" w:space="0" w:color="auto"/>
            </w:tcBorders>
            <w:shd w:val="clear" w:color="000000" w:fill="C65911"/>
            <w:noWrap/>
            <w:vAlign w:val="bottom"/>
            <w:hideMark/>
          </w:tcPr>
          <w:p w14:paraId="4F4E5C6A" w14:textId="77777777"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14 101 792</w:t>
            </w:r>
          </w:p>
        </w:tc>
        <w:tc>
          <w:tcPr>
            <w:tcW w:w="1116" w:type="dxa"/>
            <w:tcBorders>
              <w:top w:val="nil"/>
              <w:left w:val="nil"/>
              <w:bottom w:val="single" w:sz="8" w:space="0" w:color="auto"/>
              <w:right w:val="single" w:sz="4" w:space="0" w:color="auto"/>
            </w:tcBorders>
            <w:shd w:val="clear" w:color="000000" w:fill="C65911"/>
            <w:noWrap/>
            <w:vAlign w:val="bottom"/>
            <w:hideMark/>
          </w:tcPr>
          <w:p w14:paraId="0C3C2833" w14:textId="2A9171FB" w:rsidR="00732EE9" w:rsidRPr="00F11842" w:rsidRDefault="00732EE9" w:rsidP="00732EE9">
            <w:pPr>
              <w:spacing w:before="60" w:after="60" w:line="360" w:lineRule="auto"/>
              <w:jc w:val="right"/>
              <w:rPr>
                <w:rFonts w:eastAsia="Times New Roman" w:cs="Calibri"/>
                <w:b/>
                <w:bCs/>
                <w:color w:val="FFFFFF"/>
                <w:sz w:val="18"/>
                <w:szCs w:val="18"/>
                <w:lang w:eastAsia="pl-PL"/>
              </w:rPr>
            </w:pPr>
            <w:r w:rsidRPr="00F11842">
              <w:rPr>
                <w:rFonts w:eastAsia="Times New Roman" w:cs="Calibri"/>
                <w:b/>
                <w:bCs/>
                <w:color w:val="FFFFFF"/>
                <w:sz w:val="18"/>
                <w:szCs w:val="18"/>
                <w:lang w:eastAsia="pl-PL"/>
              </w:rPr>
              <w:t>-2</w:t>
            </w:r>
            <w:r w:rsidR="00CA43D7">
              <w:rPr>
                <w:rFonts w:eastAsia="Times New Roman" w:cs="Calibri"/>
                <w:b/>
                <w:bCs/>
                <w:color w:val="FFFFFF"/>
                <w:sz w:val="18"/>
                <w:szCs w:val="18"/>
                <w:lang w:eastAsia="pl-PL"/>
              </w:rPr>
              <w:t> 629 466</w:t>
            </w:r>
          </w:p>
        </w:tc>
        <w:tc>
          <w:tcPr>
            <w:tcW w:w="1047" w:type="dxa"/>
            <w:tcBorders>
              <w:top w:val="nil"/>
              <w:left w:val="nil"/>
              <w:bottom w:val="single" w:sz="8" w:space="0" w:color="auto"/>
              <w:right w:val="single" w:sz="8" w:space="0" w:color="auto"/>
            </w:tcBorders>
            <w:shd w:val="clear" w:color="000000" w:fill="C65911"/>
            <w:noWrap/>
            <w:vAlign w:val="bottom"/>
            <w:hideMark/>
          </w:tcPr>
          <w:p w14:paraId="7ADEF042" w14:textId="039CCEFE" w:rsidR="00732EE9" w:rsidRPr="00F11842" w:rsidRDefault="00CA43D7" w:rsidP="00732EE9">
            <w:pPr>
              <w:spacing w:before="60" w:after="60" w:line="360" w:lineRule="auto"/>
              <w:jc w:val="right"/>
              <w:rPr>
                <w:rFonts w:eastAsia="Times New Roman" w:cs="Calibri"/>
                <w:b/>
                <w:bCs/>
                <w:color w:val="FFFFFF"/>
                <w:sz w:val="18"/>
                <w:szCs w:val="18"/>
                <w:lang w:eastAsia="pl-PL"/>
              </w:rPr>
            </w:pPr>
            <w:r>
              <w:rPr>
                <w:rFonts w:eastAsia="Times New Roman" w:cs="Calibri"/>
                <w:b/>
                <w:bCs/>
                <w:color w:val="FFFFFF"/>
                <w:sz w:val="18"/>
                <w:szCs w:val="18"/>
                <w:lang w:eastAsia="pl-PL"/>
              </w:rPr>
              <w:t>2 629 468</w:t>
            </w:r>
          </w:p>
        </w:tc>
      </w:tr>
    </w:tbl>
    <w:p w14:paraId="79A1ED01" w14:textId="518C6EC0" w:rsidR="00732EE9" w:rsidRPr="00F11842" w:rsidRDefault="00732EE9" w:rsidP="00732EE9">
      <w:pPr>
        <w:spacing w:before="60" w:after="60" w:line="360" w:lineRule="auto"/>
        <w:rPr>
          <w:rFonts w:ascii="Arial" w:hAnsi="Arial" w:cs="Arial"/>
          <w:sz w:val="24"/>
          <w:szCs w:val="24"/>
        </w:rPr>
      </w:pPr>
      <w:r w:rsidRPr="00F11842">
        <w:rPr>
          <w:rFonts w:ascii="Arial" w:hAnsi="Arial" w:cs="Arial"/>
          <w:sz w:val="24"/>
          <w:szCs w:val="24"/>
        </w:rPr>
        <w:t xml:space="preserve">Z uwagi na przeniesienie w ramach EFS </w:t>
      </w:r>
      <w:r>
        <w:rPr>
          <w:rFonts w:ascii="Arial" w:hAnsi="Arial" w:cs="Arial"/>
          <w:sz w:val="24"/>
          <w:szCs w:val="24"/>
        </w:rPr>
        <w:t xml:space="preserve">środków pomiędzy </w:t>
      </w:r>
      <w:r w:rsidRPr="00F11842">
        <w:rPr>
          <w:rFonts w:ascii="Arial" w:hAnsi="Arial" w:cs="Arial"/>
          <w:sz w:val="24"/>
          <w:szCs w:val="24"/>
        </w:rPr>
        <w:t>osi</w:t>
      </w:r>
      <w:r>
        <w:rPr>
          <w:rFonts w:ascii="Arial" w:hAnsi="Arial" w:cs="Arial"/>
          <w:sz w:val="24"/>
          <w:szCs w:val="24"/>
        </w:rPr>
        <w:t>ami</w:t>
      </w:r>
      <w:r w:rsidRPr="00F11842">
        <w:rPr>
          <w:rFonts w:ascii="Arial" w:hAnsi="Arial" w:cs="Arial"/>
          <w:sz w:val="24"/>
          <w:szCs w:val="24"/>
        </w:rPr>
        <w:t xml:space="preserve"> priorytetow</w:t>
      </w:r>
      <w:r>
        <w:rPr>
          <w:rFonts w:ascii="Arial" w:hAnsi="Arial" w:cs="Arial"/>
          <w:sz w:val="24"/>
          <w:szCs w:val="24"/>
        </w:rPr>
        <w:t>ymi I, II i III,</w:t>
      </w:r>
      <w:r w:rsidRPr="00F11842">
        <w:rPr>
          <w:rFonts w:ascii="Arial" w:hAnsi="Arial" w:cs="Arial"/>
          <w:sz w:val="24"/>
          <w:szCs w:val="24"/>
        </w:rPr>
        <w:t xml:space="preserve"> w któr</w:t>
      </w:r>
      <w:r>
        <w:rPr>
          <w:rFonts w:ascii="Arial" w:hAnsi="Arial" w:cs="Arial"/>
          <w:sz w:val="24"/>
          <w:szCs w:val="24"/>
        </w:rPr>
        <w:t>ych jest różny</w:t>
      </w:r>
      <w:r w:rsidRPr="00F11842">
        <w:rPr>
          <w:rFonts w:ascii="Arial" w:hAnsi="Arial" w:cs="Arial"/>
          <w:sz w:val="24"/>
          <w:szCs w:val="24"/>
        </w:rPr>
        <w:t xml:space="preserve"> udział środków UE – zmianie uległa wartość wymaganego wkładu krajowego, a tym samym i wartość całego Programu - </w:t>
      </w:r>
      <w:r>
        <w:rPr>
          <w:rFonts w:ascii="Arial" w:hAnsi="Arial" w:cs="Arial"/>
          <w:sz w:val="24"/>
          <w:szCs w:val="24"/>
        </w:rPr>
        <w:t>zwiększenie</w:t>
      </w:r>
      <w:r w:rsidRPr="00F11842">
        <w:rPr>
          <w:rFonts w:ascii="Arial" w:hAnsi="Arial" w:cs="Arial"/>
          <w:sz w:val="24"/>
          <w:szCs w:val="24"/>
        </w:rPr>
        <w:t xml:space="preserve"> o </w:t>
      </w:r>
      <w:r>
        <w:rPr>
          <w:rFonts w:ascii="Arial" w:hAnsi="Arial" w:cs="Arial"/>
          <w:sz w:val="24"/>
          <w:szCs w:val="24"/>
        </w:rPr>
        <w:t>2 </w:t>
      </w:r>
      <w:r w:rsidRPr="00F11842">
        <w:rPr>
          <w:rFonts w:ascii="Arial" w:hAnsi="Arial" w:cs="Arial"/>
          <w:sz w:val="24"/>
          <w:szCs w:val="24"/>
        </w:rPr>
        <w:t xml:space="preserve">EUR. </w:t>
      </w:r>
    </w:p>
    <w:p w14:paraId="540E3F7D" w14:textId="77777777" w:rsidR="00732EE9" w:rsidRPr="00F11842" w:rsidRDefault="00732EE9" w:rsidP="00732EE9">
      <w:pPr>
        <w:spacing w:before="60" w:after="60" w:line="360" w:lineRule="auto"/>
        <w:rPr>
          <w:rFonts w:ascii="Arial" w:hAnsi="Arial" w:cs="Arial"/>
          <w:sz w:val="24"/>
          <w:szCs w:val="24"/>
        </w:rPr>
      </w:pPr>
      <w:r w:rsidRPr="00F11842">
        <w:rPr>
          <w:rFonts w:ascii="Arial" w:hAnsi="Arial" w:cs="Arial"/>
          <w:sz w:val="24"/>
          <w:szCs w:val="24"/>
        </w:rPr>
        <w:t xml:space="preserve">W związku z powyższym, zmianie uległa: </w:t>
      </w:r>
    </w:p>
    <w:p w14:paraId="41A68FA1" w14:textId="77777777" w:rsidR="00732EE9" w:rsidRDefault="00732EE9" w:rsidP="00732EE9">
      <w:pPr>
        <w:pStyle w:val="Akapitzlist"/>
        <w:numPr>
          <w:ilvl w:val="0"/>
          <w:numId w:val="23"/>
        </w:numPr>
        <w:spacing w:before="60" w:after="60"/>
        <w:contextualSpacing w:val="0"/>
        <w:rPr>
          <w:rFonts w:cs="Arial"/>
          <w:sz w:val="24"/>
        </w:rPr>
      </w:pPr>
      <w:r w:rsidRPr="00F11842">
        <w:rPr>
          <w:rFonts w:cs="Arial"/>
          <w:sz w:val="24"/>
        </w:rPr>
        <w:t>Tabela 18a: Plan finansowy (EUR)</w:t>
      </w:r>
    </w:p>
    <w:p w14:paraId="2DE0D893" w14:textId="77777777" w:rsidR="00732EE9" w:rsidRDefault="00732EE9" w:rsidP="00732EE9">
      <w:pPr>
        <w:pStyle w:val="Akapitzlist"/>
        <w:numPr>
          <w:ilvl w:val="0"/>
          <w:numId w:val="23"/>
        </w:numPr>
        <w:spacing w:before="60" w:after="60"/>
        <w:contextualSpacing w:val="0"/>
        <w:rPr>
          <w:rFonts w:cs="Arial"/>
          <w:sz w:val="24"/>
        </w:rPr>
      </w:pPr>
      <w:r w:rsidRPr="00F11842">
        <w:rPr>
          <w:rFonts w:cs="Arial"/>
          <w:sz w:val="24"/>
        </w:rPr>
        <w:t>Tabela 18c: Plan finansowy w podziale na osie priorytetowe, fundusze, kategorie regionów i cele tematyczne (EUR)</w:t>
      </w:r>
    </w:p>
    <w:p w14:paraId="7F81BE9F" w14:textId="29CA66FA" w:rsidR="00ED18B9" w:rsidRPr="003B4A39" w:rsidRDefault="00732EE9" w:rsidP="002C3361">
      <w:pPr>
        <w:pStyle w:val="Akapitzlist"/>
        <w:numPr>
          <w:ilvl w:val="0"/>
          <w:numId w:val="23"/>
        </w:numPr>
        <w:spacing w:before="60" w:after="60"/>
        <w:contextualSpacing w:val="0"/>
        <w:rPr>
          <w:rFonts w:cs="Arial"/>
          <w:sz w:val="24"/>
        </w:rPr>
      </w:pPr>
      <w:r w:rsidRPr="003B4A39">
        <w:rPr>
          <w:rFonts w:cs="Arial"/>
          <w:sz w:val="24"/>
        </w:rPr>
        <w:t>Tabele 7-11: Tabele przedstawiające zastosowane w osi priorytetowej kategorie interwencji dla I, II, III i V osi priorytetowej.</w:t>
      </w:r>
      <w:r w:rsidR="003B4A39" w:rsidRPr="003B4A39">
        <w:rPr>
          <w:rFonts w:cs="Arial"/>
          <w:sz w:val="24"/>
        </w:rPr>
        <w:t xml:space="preserve"> </w:t>
      </w:r>
    </w:p>
    <w:p w14:paraId="2F7ADB17" w14:textId="77777777" w:rsidR="00ED18B9" w:rsidRPr="00F75263" w:rsidRDefault="00ED18B9" w:rsidP="00732EE9">
      <w:pPr>
        <w:spacing w:before="60" w:after="60" w:line="360" w:lineRule="auto"/>
        <w:rPr>
          <w:rFonts w:ascii="Arial" w:hAnsi="Arial" w:cs="Arial"/>
          <w:sz w:val="24"/>
          <w:szCs w:val="24"/>
        </w:rPr>
      </w:pPr>
    </w:p>
    <w:p w14:paraId="1733C89D" w14:textId="77777777" w:rsidR="000E189A" w:rsidRPr="00F75263" w:rsidRDefault="000E189A" w:rsidP="00732EE9">
      <w:pPr>
        <w:spacing w:before="60" w:after="60" w:line="360" w:lineRule="auto"/>
        <w:rPr>
          <w:rFonts w:ascii="Arial" w:hAnsi="Arial" w:cs="Arial"/>
          <w:sz w:val="24"/>
          <w:szCs w:val="24"/>
        </w:rPr>
      </w:pPr>
    </w:p>
    <w:p w14:paraId="38A3FEE9" w14:textId="77777777" w:rsidR="000E189A" w:rsidRPr="00F75263" w:rsidRDefault="000E189A" w:rsidP="00732EE9">
      <w:pPr>
        <w:spacing w:before="60" w:after="60" w:line="360" w:lineRule="auto"/>
        <w:rPr>
          <w:rFonts w:ascii="Arial" w:hAnsi="Arial" w:cs="Arial"/>
          <w:sz w:val="24"/>
          <w:szCs w:val="24"/>
        </w:rPr>
      </w:pPr>
      <w:bookmarkStart w:id="1" w:name="ezdPracownikAtrybut1"/>
      <w:bookmarkEnd w:id="1"/>
      <w:r w:rsidRPr="00F75263">
        <w:rPr>
          <w:rFonts w:ascii="Arial" w:hAnsi="Arial" w:cs="Arial"/>
          <w:sz w:val="24"/>
          <w:szCs w:val="24"/>
        </w:rPr>
        <w:lastRenderedPageBreak/>
        <w:t xml:space="preserve"> </w:t>
      </w:r>
      <w:bookmarkStart w:id="2" w:name="ezdPracownikNazwa"/>
      <w:bookmarkEnd w:id="2"/>
    </w:p>
    <w:p w14:paraId="0676FC40" w14:textId="77777777" w:rsidR="000E189A" w:rsidRPr="00F75263" w:rsidRDefault="000E189A" w:rsidP="00732EE9">
      <w:pPr>
        <w:spacing w:before="60" w:after="60" w:line="360" w:lineRule="auto"/>
        <w:rPr>
          <w:rFonts w:ascii="Arial" w:hAnsi="Arial" w:cs="Arial"/>
          <w:sz w:val="24"/>
          <w:szCs w:val="24"/>
        </w:rPr>
      </w:pPr>
      <w:bookmarkStart w:id="3" w:name="ezdPracownikAtrybut2"/>
      <w:bookmarkEnd w:id="3"/>
      <w:r w:rsidRPr="00F75263">
        <w:rPr>
          <w:rFonts w:ascii="Arial" w:hAnsi="Arial" w:cs="Arial"/>
          <w:sz w:val="24"/>
          <w:szCs w:val="24"/>
        </w:rPr>
        <w:t xml:space="preserve"> </w:t>
      </w:r>
      <w:bookmarkStart w:id="4" w:name="ezdDataPodpisu_2"/>
      <w:bookmarkEnd w:id="4"/>
    </w:p>
    <w:sectPr w:rsidR="000E189A" w:rsidRPr="00F75263" w:rsidSect="00FF48DE">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769A5" w14:textId="77777777" w:rsidR="0066224E" w:rsidRDefault="0066224E" w:rsidP="003D5936">
      <w:pPr>
        <w:spacing w:after="0" w:line="240" w:lineRule="auto"/>
      </w:pPr>
      <w:r>
        <w:separator/>
      </w:r>
    </w:p>
  </w:endnote>
  <w:endnote w:type="continuationSeparator" w:id="0">
    <w:p w14:paraId="39DDF143" w14:textId="77777777" w:rsidR="0066224E" w:rsidRDefault="0066224E"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6B3E" w14:textId="77777777" w:rsidR="000012CE" w:rsidRPr="0058301A" w:rsidRDefault="0058301A" w:rsidP="0058301A">
    <w:pPr>
      <w:pStyle w:val="Stopka"/>
      <w:spacing w:before="120" w:after="120" w:line="240" w:lineRule="atLeast"/>
      <w:jc w:val="right"/>
      <w:rPr>
        <w:rFonts w:ascii="Arial" w:hAnsi="Arial" w:cs="Arial"/>
      </w:rPr>
    </w:pPr>
    <w:r w:rsidRPr="00D67239">
      <w:rPr>
        <w:rFonts w:ascii="Arial" w:hAnsi="Arial" w:cs="Arial"/>
      </w:rPr>
      <w:t xml:space="preserve">Strona </w:t>
    </w:r>
    <w:r w:rsidRPr="00D67239">
      <w:rPr>
        <w:rFonts w:ascii="Arial" w:hAnsi="Arial" w:cs="Arial"/>
        <w:b/>
        <w:bCs/>
      </w:rPr>
      <w:fldChar w:fldCharType="begin"/>
    </w:r>
    <w:r w:rsidRPr="00D67239">
      <w:rPr>
        <w:rFonts w:ascii="Arial" w:hAnsi="Arial" w:cs="Arial"/>
        <w:b/>
        <w:bCs/>
      </w:rPr>
      <w:instrText>PAGE</w:instrText>
    </w:r>
    <w:r w:rsidRPr="00D67239">
      <w:rPr>
        <w:rFonts w:ascii="Arial" w:hAnsi="Arial" w:cs="Arial"/>
        <w:b/>
        <w:bCs/>
      </w:rPr>
      <w:fldChar w:fldCharType="separate"/>
    </w:r>
    <w:r w:rsidR="0064239D">
      <w:rPr>
        <w:rFonts w:ascii="Arial" w:hAnsi="Arial" w:cs="Arial"/>
        <w:b/>
        <w:bCs/>
        <w:noProof/>
      </w:rPr>
      <w:t>11</w:t>
    </w:r>
    <w:r w:rsidRPr="00D67239">
      <w:rPr>
        <w:rFonts w:ascii="Arial" w:hAnsi="Arial" w:cs="Arial"/>
        <w:b/>
        <w:bCs/>
      </w:rPr>
      <w:fldChar w:fldCharType="end"/>
    </w:r>
    <w:r w:rsidRPr="00D67239">
      <w:rPr>
        <w:rFonts w:ascii="Arial" w:hAnsi="Arial" w:cs="Arial"/>
      </w:rPr>
      <w:t xml:space="preserve"> z </w:t>
    </w:r>
    <w:r w:rsidRPr="00D67239">
      <w:rPr>
        <w:rFonts w:ascii="Arial" w:hAnsi="Arial" w:cs="Arial"/>
        <w:b/>
        <w:bCs/>
      </w:rPr>
      <w:fldChar w:fldCharType="begin"/>
    </w:r>
    <w:r w:rsidRPr="00D67239">
      <w:rPr>
        <w:rFonts w:ascii="Arial" w:hAnsi="Arial" w:cs="Arial"/>
        <w:b/>
        <w:bCs/>
      </w:rPr>
      <w:instrText>NUMPAGES</w:instrText>
    </w:r>
    <w:r w:rsidRPr="00D67239">
      <w:rPr>
        <w:rFonts w:ascii="Arial" w:hAnsi="Arial" w:cs="Arial"/>
        <w:b/>
        <w:bCs/>
      </w:rPr>
      <w:fldChar w:fldCharType="separate"/>
    </w:r>
    <w:r w:rsidR="0064239D">
      <w:rPr>
        <w:rFonts w:ascii="Arial" w:hAnsi="Arial" w:cs="Arial"/>
        <w:b/>
        <w:bCs/>
        <w:noProof/>
      </w:rPr>
      <w:t>11</w:t>
    </w:r>
    <w:r w:rsidRPr="00D67239">
      <w:rPr>
        <w:rFonts w:ascii="Arial" w:hAnsi="Arial"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CBD4" w14:textId="77777777" w:rsidR="00257888" w:rsidRPr="00D67239" w:rsidRDefault="00257888" w:rsidP="00D67239">
    <w:pPr>
      <w:pStyle w:val="Stopka"/>
      <w:spacing w:before="120" w:after="120" w:line="240" w:lineRule="atLeast"/>
      <w:jc w:val="right"/>
      <w:rPr>
        <w:rFonts w:ascii="Arial" w:hAnsi="Arial" w:cs="Arial"/>
      </w:rPr>
    </w:pPr>
    <w:r w:rsidRPr="00D67239">
      <w:rPr>
        <w:rFonts w:ascii="Arial" w:hAnsi="Arial" w:cs="Arial"/>
      </w:rPr>
      <w:t xml:space="preserve">Strona </w:t>
    </w:r>
    <w:r w:rsidRPr="00D67239">
      <w:rPr>
        <w:rFonts w:ascii="Arial" w:hAnsi="Arial" w:cs="Arial"/>
        <w:b/>
        <w:bCs/>
      </w:rPr>
      <w:fldChar w:fldCharType="begin"/>
    </w:r>
    <w:r w:rsidRPr="00D67239">
      <w:rPr>
        <w:rFonts w:ascii="Arial" w:hAnsi="Arial" w:cs="Arial"/>
        <w:b/>
        <w:bCs/>
      </w:rPr>
      <w:instrText>PAGE</w:instrText>
    </w:r>
    <w:r w:rsidRPr="00D67239">
      <w:rPr>
        <w:rFonts w:ascii="Arial" w:hAnsi="Arial" w:cs="Arial"/>
        <w:b/>
        <w:bCs/>
      </w:rPr>
      <w:fldChar w:fldCharType="separate"/>
    </w:r>
    <w:r w:rsidR="0064239D">
      <w:rPr>
        <w:rFonts w:ascii="Arial" w:hAnsi="Arial" w:cs="Arial"/>
        <w:b/>
        <w:bCs/>
        <w:noProof/>
      </w:rPr>
      <w:t>1</w:t>
    </w:r>
    <w:r w:rsidRPr="00D67239">
      <w:rPr>
        <w:rFonts w:ascii="Arial" w:hAnsi="Arial" w:cs="Arial"/>
        <w:b/>
        <w:bCs/>
      </w:rPr>
      <w:fldChar w:fldCharType="end"/>
    </w:r>
    <w:r w:rsidRPr="00D67239">
      <w:rPr>
        <w:rFonts w:ascii="Arial" w:hAnsi="Arial" w:cs="Arial"/>
      </w:rPr>
      <w:t xml:space="preserve"> z </w:t>
    </w:r>
    <w:r w:rsidRPr="00D67239">
      <w:rPr>
        <w:rFonts w:ascii="Arial" w:hAnsi="Arial" w:cs="Arial"/>
        <w:b/>
        <w:bCs/>
      </w:rPr>
      <w:fldChar w:fldCharType="begin"/>
    </w:r>
    <w:r w:rsidRPr="00D67239">
      <w:rPr>
        <w:rFonts w:ascii="Arial" w:hAnsi="Arial" w:cs="Arial"/>
        <w:b/>
        <w:bCs/>
      </w:rPr>
      <w:instrText>NUMPAGES</w:instrText>
    </w:r>
    <w:r w:rsidRPr="00D67239">
      <w:rPr>
        <w:rFonts w:ascii="Arial" w:hAnsi="Arial" w:cs="Arial"/>
        <w:b/>
        <w:bCs/>
      </w:rPr>
      <w:fldChar w:fldCharType="separate"/>
    </w:r>
    <w:r w:rsidR="0064239D">
      <w:rPr>
        <w:rFonts w:ascii="Arial" w:hAnsi="Arial" w:cs="Arial"/>
        <w:b/>
        <w:bCs/>
        <w:noProof/>
      </w:rPr>
      <w:t>11</w:t>
    </w:r>
    <w:r w:rsidRPr="00D67239">
      <w:rPr>
        <w:rFonts w:ascii="Arial" w:hAnsi="Arial"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2E36A" w14:textId="77777777" w:rsidR="0066224E" w:rsidRDefault="0066224E" w:rsidP="003D5936">
      <w:pPr>
        <w:spacing w:after="0" w:line="240" w:lineRule="auto"/>
      </w:pPr>
      <w:r>
        <w:separator/>
      </w:r>
    </w:p>
  </w:footnote>
  <w:footnote w:type="continuationSeparator" w:id="0">
    <w:p w14:paraId="2F3E9736" w14:textId="77777777" w:rsidR="0066224E" w:rsidRDefault="0066224E" w:rsidP="003D5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E0835" w14:textId="77777777" w:rsidR="0058301A" w:rsidRPr="0058301A" w:rsidRDefault="0058301A" w:rsidP="0058301A">
    <w:pPr>
      <w:pStyle w:val="Nagwek"/>
      <w:spacing w:before="120" w:after="120" w:line="240" w:lineRule="atLeas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7C6C2" w14:textId="6984E375" w:rsidR="00FF48DE" w:rsidRPr="00D67239" w:rsidRDefault="00764843" w:rsidP="00D67239">
    <w:pPr>
      <w:pStyle w:val="Nagwek"/>
      <w:spacing w:before="120" w:after="120" w:line="240" w:lineRule="atLeast"/>
      <w:rPr>
        <w:rFonts w:ascii="Arial" w:hAnsi="Arial" w:cs="Arial"/>
      </w:rPr>
    </w:pPr>
    <w:r>
      <w:rPr>
        <w:rFonts w:ascii="Arial" w:hAnsi="Arial" w:cs="Arial"/>
        <w:noProof/>
        <w:lang w:eastAsia="pl-PL"/>
      </w:rPr>
      <w:drawing>
        <wp:inline distT="0" distB="0" distL="0" distR="0" wp14:anchorId="2A16F585" wp14:editId="5DE83BB4">
          <wp:extent cx="5760720" cy="5810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5810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0E6B"/>
    <w:multiLevelType w:val="hybridMultilevel"/>
    <w:tmpl w:val="A22606CA"/>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DB6E95"/>
    <w:multiLevelType w:val="hybridMultilevel"/>
    <w:tmpl w:val="230A88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8A0C4A"/>
    <w:multiLevelType w:val="hybridMultilevel"/>
    <w:tmpl w:val="2DFEB04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A13031"/>
    <w:multiLevelType w:val="hybridMultilevel"/>
    <w:tmpl w:val="98406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232579"/>
    <w:multiLevelType w:val="hybridMultilevel"/>
    <w:tmpl w:val="2FE261A2"/>
    <w:lvl w:ilvl="0" w:tplc="32D8ED40">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A20BF9"/>
    <w:multiLevelType w:val="hybridMultilevel"/>
    <w:tmpl w:val="A47A7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823A31"/>
    <w:multiLevelType w:val="hybridMultilevel"/>
    <w:tmpl w:val="835CFE8A"/>
    <w:lvl w:ilvl="0" w:tplc="87C641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CA7E4E"/>
    <w:multiLevelType w:val="hybridMultilevel"/>
    <w:tmpl w:val="02721EEC"/>
    <w:lvl w:ilvl="0" w:tplc="04150001">
      <w:start w:val="1"/>
      <w:numFmt w:val="bullet"/>
      <w:lvlText w:val=""/>
      <w:lvlJc w:val="left"/>
      <w:pPr>
        <w:ind w:left="720" w:hanging="360"/>
      </w:pPr>
      <w:rPr>
        <w:rFonts w:ascii="Symbol" w:hAnsi="Symbol" w:hint="default"/>
      </w:rPr>
    </w:lvl>
    <w:lvl w:ilvl="1" w:tplc="32A2E83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8890C53"/>
    <w:multiLevelType w:val="hybridMultilevel"/>
    <w:tmpl w:val="17DE1AD0"/>
    <w:lvl w:ilvl="0" w:tplc="04150017">
      <w:start w:val="1"/>
      <w:numFmt w:val="lowerLetter"/>
      <w:lvlText w:val="%1)"/>
      <w:lvlJc w:val="left"/>
      <w:pPr>
        <w:tabs>
          <w:tab w:val="num" w:pos="1500"/>
        </w:tabs>
        <w:ind w:left="1500" w:hanging="360"/>
      </w:pPr>
      <w:rPr>
        <w:rFonts w:hint="default"/>
      </w:rPr>
    </w:lvl>
    <w:lvl w:ilvl="1" w:tplc="2E3AB46E">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2"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5DFA7B7C"/>
    <w:multiLevelType w:val="hybridMultilevel"/>
    <w:tmpl w:val="6F5C9162"/>
    <w:lvl w:ilvl="0" w:tplc="2FC28D6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5EE9564B"/>
    <w:multiLevelType w:val="hybridMultilevel"/>
    <w:tmpl w:val="4754E1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4101AF"/>
    <w:multiLevelType w:val="multilevel"/>
    <w:tmpl w:val="B3903D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F24DCB"/>
    <w:multiLevelType w:val="hybridMultilevel"/>
    <w:tmpl w:val="51D6D80A"/>
    <w:lvl w:ilvl="0" w:tplc="04150001">
      <w:start w:val="1"/>
      <w:numFmt w:val="bullet"/>
      <w:lvlText w:val=""/>
      <w:lvlJc w:val="left"/>
      <w:pPr>
        <w:ind w:left="-392" w:hanging="360"/>
      </w:pPr>
      <w:rPr>
        <w:rFonts w:ascii="Symbol" w:hAnsi="Symbol" w:hint="default"/>
      </w:rPr>
    </w:lvl>
    <w:lvl w:ilvl="1" w:tplc="04150003" w:tentative="1">
      <w:start w:val="1"/>
      <w:numFmt w:val="bullet"/>
      <w:lvlText w:val="o"/>
      <w:lvlJc w:val="left"/>
      <w:pPr>
        <w:ind w:left="328" w:hanging="360"/>
      </w:pPr>
      <w:rPr>
        <w:rFonts w:ascii="Courier New" w:hAnsi="Courier New" w:cs="Courier New" w:hint="default"/>
      </w:rPr>
    </w:lvl>
    <w:lvl w:ilvl="2" w:tplc="04150005" w:tentative="1">
      <w:start w:val="1"/>
      <w:numFmt w:val="bullet"/>
      <w:lvlText w:val=""/>
      <w:lvlJc w:val="left"/>
      <w:pPr>
        <w:ind w:left="1048" w:hanging="360"/>
      </w:pPr>
      <w:rPr>
        <w:rFonts w:ascii="Wingdings" w:hAnsi="Wingdings" w:hint="default"/>
      </w:rPr>
    </w:lvl>
    <w:lvl w:ilvl="3" w:tplc="04150001" w:tentative="1">
      <w:start w:val="1"/>
      <w:numFmt w:val="bullet"/>
      <w:lvlText w:val=""/>
      <w:lvlJc w:val="left"/>
      <w:pPr>
        <w:ind w:left="1768" w:hanging="360"/>
      </w:pPr>
      <w:rPr>
        <w:rFonts w:ascii="Symbol" w:hAnsi="Symbol" w:hint="default"/>
      </w:rPr>
    </w:lvl>
    <w:lvl w:ilvl="4" w:tplc="04150003" w:tentative="1">
      <w:start w:val="1"/>
      <w:numFmt w:val="bullet"/>
      <w:lvlText w:val="o"/>
      <w:lvlJc w:val="left"/>
      <w:pPr>
        <w:ind w:left="2488" w:hanging="360"/>
      </w:pPr>
      <w:rPr>
        <w:rFonts w:ascii="Courier New" w:hAnsi="Courier New" w:cs="Courier New" w:hint="default"/>
      </w:rPr>
    </w:lvl>
    <w:lvl w:ilvl="5" w:tplc="04150005" w:tentative="1">
      <w:start w:val="1"/>
      <w:numFmt w:val="bullet"/>
      <w:lvlText w:val=""/>
      <w:lvlJc w:val="left"/>
      <w:pPr>
        <w:ind w:left="3208" w:hanging="360"/>
      </w:pPr>
      <w:rPr>
        <w:rFonts w:ascii="Wingdings" w:hAnsi="Wingdings" w:hint="default"/>
      </w:rPr>
    </w:lvl>
    <w:lvl w:ilvl="6" w:tplc="04150001" w:tentative="1">
      <w:start w:val="1"/>
      <w:numFmt w:val="bullet"/>
      <w:lvlText w:val=""/>
      <w:lvlJc w:val="left"/>
      <w:pPr>
        <w:ind w:left="3928" w:hanging="360"/>
      </w:pPr>
      <w:rPr>
        <w:rFonts w:ascii="Symbol" w:hAnsi="Symbol" w:hint="default"/>
      </w:rPr>
    </w:lvl>
    <w:lvl w:ilvl="7" w:tplc="04150003" w:tentative="1">
      <w:start w:val="1"/>
      <w:numFmt w:val="bullet"/>
      <w:lvlText w:val="o"/>
      <w:lvlJc w:val="left"/>
      <w:pPr>
        <w:ind w:left="4648" w:hanging="360"/>
      </w:pPr>
      <w:rPr>
        <w:rFonts w:ascii="Courier New" w:hAnsi="Courier New" w:cs="Courier New" w:hint="default"/>
      </w:rPr>
    </w:lvl>
    <w:lvl w:ilvl="8" w:tplc="04150005" w:tentative="1">
      <w:start w:val="1"/>
      <w:numFmt w:val="bullet"/>
      <w:lvlText w:val=""/>
      <w:lvlJc w:val="left"/>
      <w:pPr>
        <w:ind w:left="5368" w:hanging="360"/>
      </w:pPr>
      <w:rPr>
        <w:rFonts w:ascii="Wingdings" w:hAnsi="Wingdings" w:hint="default"/>
      </w:rPr>
    </w:lvl>
  </w:abstractNum>
  <w:abstractNum w:abstractNumId="17" w15:restartNumberingAfterBreak="0">
    <w:nsid w:val="66325B72"/>
    <w:multiLevelType w:val="hybridMultilevel"/>
    <w:tmpl w:val="641AC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321292"/>
    <w:multiLevelType w:val="hybridMultilevel"/>
    <w:tmpl w:val="4618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362EA5"/>
    <w:multiLevelType w:val="hybridMultilevel"/>
    <w:tmpl w:val="37C00A2E"/>
    <w:lvl w:ilvl="0" w:tplc="DD26B048">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340D47"/>
    <w:multiLevelType w:val="hybridMultilevel"/>
    <w:tmpl w:val="0B9E2808"/>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1" w15:restartNumberingAfterBreak="0">
    <w:nsid w:val="74540E8F"/>
    <w:multiLevelType w:val="hybridMultilevel"/>
    <w:tmpl w:val="2FE261A2"/>
    <w:lvl w:ilvl="0" w:tplc="32D8ED40">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51110F"/>
    <w:multiLevelType w:val="hybridMultilevel"/>
    <w:tmpl w:val="2FE261A2"/>
    <w:lvl w:ilvl="0" w:tplc="32D8ED40">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8"/>
  </w:num>
  <w:num w:numId="3">
    <w:abstractNumId w:val="12"/>
  </w:num>
  <w:num w:numId="4">
    <w:abstractNumId w:val="9"/>
  </w:num>
  <w:num w:numId="5">
    <w:abstractNumId w:val="11"/>
  </w:num>
  <w:num w:numId="6">
    <w:abstractNumId w:val="5"/>
  </w:num>
  <w:num w:numId="7">
    <w:abstractNumId w:val="3"/>
  </w:num>
  <w:num w:numId="8">
    <w:abstractNumId w:val="19"/>
  </w:num>
  <w:num w:numId="9">
    <w:abstractNumId w:val="4"/>
  </w:num>
  <w:num w:numId="10">
    <w:abstractNumId w:val="8"/>
  </w:num>
  <w:num w:numId="11">
    <w:abstractNumId w:val="15"/>
  </w:num>
  <w:num w:numId="12">
    <w:abstractNumId w:val="13"/>
  </w:num>
  <w:num w:numId="13">
    <w:abstractNumId w:val="0"/>
  </w:num>
  <w:num w:numId="14">
    <w:abstractNumId w:val="22"/>
  </w:num>
  <w:num w:numId="15">
    <w:abstractNumId w:val="21"/>
  </w:num>
  <w:num w:numId="16">
    <w:abstractNumId w:val="7"/>
  </w:num>
  <w:num w:numId="17">
    <w:abstractNumId w:val="14"/>
  </w:num>
  <w:num w:numId="18">
    <w:abstractNumId w:val="6"/>
  </w:num>
  <w:num w:numId="19">
    <w:abstractNumId w:val="16"/>
  </w:num>
  <w:num w:numId="20">
    <w:abstractNumId w:val="10"/>
  </w:num>
  <w:num w:numId="21">
    <w:abstractNumId w:val="17"/>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58A"/>
    <w:rsid w:val="0000117E"/>
    <w:rsid w:val="000012CE"/>
    <w:rsid w:val="00003ACA"/>
    <w:rsid w:val="00007C80"/>
    <w:rsid w:val="00013990"/>
    <w:rsid w:val="00015DB0"/>
    <w:rsid w:val="00030B5B"/>
    <w:rsid w:val="00037B81"/>
    <w:rsid w:val="000412E4"/>
    <w:rsid w:val="0004478C"/>
    <w:rsid w:val="000448C2"/>
    <w:rsid w:val="00050A79"/>
    <w:rsid w:val="00055B68"/>
    <w:rsid w:val="000631D1"/>
    <w:rsid w:val="0006320D"/>
    <w:rsid w:val="000640EA"/>
    <w:rsid w:val="00072776"/>
    <w:rsid w:val="00080A68"/>
    <w:rsid w:val="00081A04"/>
    <w:rsid w:val="00086B53"/>
    <w:rsid w:val="00093F6A"/>
    <w:rsid w:val="000A29A9"/>
    <w:rsid w:val="000A2FA8"/>
    <w:rsid w:val="000A3D94"/>
    <w:rsid w:val="000A4A6D"/>
    <w:rsid w:val="000C560E"/>
    <w:rsid w:val="000D0F64"/>
    <w:rsid w:val="000E189A"/>
    <w:rsid w:val="000E288B"/>
    <w:rsid w:val="000E58A5"/>
    <w:rsid w:val="000F1E91"/>
    <w:rsid w:val="000F7ED2"/>
    <w:rsid w:val="001003E6"/>
    <w:rsid w:val="00100AEB"/>
    <w:rsid w:val="0010656E"/>
    <w:rsid w:val="00110984"/>
    <w:rsid w:val="001112AB"/>
    <w:rsid w:val="00112B98"/>
    <w:rsid w:val="001179F1"/>
    <w:rsid w:val="001207BE"/>
    <w:rsid w:val="001208EA"/>
    <w:rsid w:val="00123D1E"/>
    <w:rsid w:val="00136AD4"/>
    <w:rsid w:val="001401A5"/>
    <w:rsid w:val="00142F9C"/>
    <w:rsid w:val="00157C3F"/>
    <w:rsid w:val="00161207"/>
    <w:rsid w:val="0016199A"/>
    <w:rsid w:val="0016495F"/>
    <w:rsid w:val="00170999"/>
    <w:rsid w:val="00177B42"/>
    <w:rsid w:val="001821BC"/>
    <w:rsid w:val="00184282"/>
    <w:rsid w:val="00186A00"/>
    <w:rsid w:val="00187651"/>
    <w:rsid w:val="00192141"/>
    <w:rsid w:val="0019293B"/>
    <w:rsid w:val="00192EA3"/>
    <w:rsid w:val="00193E3D"/>
    <w:rsid w:val="001975AB"/>
    <w:rsid w:val="001A671B"/>
    <w:rsid w:val="001B2286"/>
    <w:rsid w:val="001B3A78"/>
    <w:rsid w:val="001B415A"/>
    <w:rsid w:val="001C3FF6"/>
    <w:rsid w:val="001D2A36"/>
    <w:rsid w:val="001D4A4D"/>
    <w:rsid w:val="001D57BE"/>
    <w:rsid w:val="001F10B7"/>
    <w:rsid w:val="001F331F"/>
    <w:rsid w:val="001F5F00"/>
    <w:rsid w:val="001F63AD"/>
    <w:rsid w:val="00201488"/>
    <w:rsid w:val="00217DDF"/>
    <w:rsid w:val="002218D7"/>
    <w:rsid w:val="0022312F"/>
    <w:rsid w:val="002278FA"/>
    <w:rsid w:val="00227E1F"/>
    <w:rsid w:val="002407CF"/>
    <w:rsid w:val="00242778"/>
    <w:rsid w:val="002456EE"/>
    <w:rsid w:val="002474D4"/>
    <w:rsid w:val="00251DF9"/>
    <w:rsid w:val="00257050"/>
    <w:rsid w:val="00257888"/>
    <w:rsid w:val="002625E1"/>
    <w:rsid w:val="002752D2"/>
    <w:rsid w:val="0028171D"/>
    <w:rsid w:val="00281DBE"/>
    <w:rsid w:val="00290347"/>
    <w:rsid w:val="002961EA"/>
    <w:rsid w:val="0029647F"/>
    <w:rsid w:val="002A33DD"/>
    <w:rsid w:val="002A4B8F"/>
    <w:rsid w:val="002A4D9A"/>
    <w:rsid w:val="002B32FA"/>
    <w:rsid w:val="002B3A81"/>
    <w:rsid w:val="002E13A4"/>
    <w:rsid w:val="002E56F7"/>
    <w:rsid w:val="002E7A2D"/>
    <w:rsid w:val="002F09CE"/>
    <w:rsid w:val="002F4A76"/>
    <w:rsid w:val="002F50C5"/>
    <w:rsid w:val="00315A9A"/>
    <w:rsid w:val="00320B2D"/>
    <w:rsid w:val="003312F7"/>
    <w:rsid w:val="0033332E"/>
    <w:rsid w:val="003346F7"/>
    <w:rsid w:val="003436FC"/>
    <w:rsid w:val="00347B70"/>
    <w:rsid w:val="003530E2"/>
    <w:rsid w:val="003561E4"/>
    <w:rsid w:val="00364992"/>
    <w:rsid w:val="003937F3"/>
    <w:rsid w:val="00393AB7"/>
    <w:rsid w:val="00395D40"/>
    <w:rsid w:val="00397601"/>
    <w:rsid w:val="003A79DF"/>
    <w:rsid w:val="003B1413"/>
    <w:rsid w:val="003B4A39"/>
    <w:rsid w:val="003B4D91"/>
    <w:rsid w:val="003C3EAA"/>
    <w:rsid w:val="003D15EC"/>
    <w:rsid w:val="003D5375"/>
    <w:rsid w:val="003D5936"/>
    <w:rsid w:val="003D5F7A"/>
    <w:rsid w:val="003D7726"/>
    <w:rsid w:val="003E105B"/>
    <w:rsid w:val="003E7D9C"/>
    <w:rsid w:val="003F05D9"/>
    <w:rsid w:val="004022FD"/>
    <w:rsid w:val="00402A95"/>
    <w:rsid w:val="004039AD"/>
    <w:rsid w:val="00404712"/>
    <w:rsid w:val="00404FBC"/>
    <w:rsid w:val="004076A1"/>
    <w:rsid w:val="00413924"/>
    <w:rsid w:val="00413F87"/>
    <w:rsid w:val="00431392"/>
    <w:rsid w:val="004317C0"/>
    <w:rsid w:val="00432F13"/>
    <w:rsid w:val="00440EB0"/>
    <w:rsid w:val="00442F50"/>
    <w:rsid w:val="00450110"/>
    <w:rsid w:val="00455218"/>
    <w:rsid w:val="00460AAF"/>
    <w:rsid w:val="004643B7"/>
    <w:rsid w:val="00470544"/>
    <w:rsid w:val="00474538"/>
    <w:rsid w:val="00475B95"/>
    <w:rsid w:val="004814E8"/>
    <w:rsid w:val="004A3BA4"/>
    <w:rsid w:val="004A3CC7"/>
    <w:rsid w:val="004A4466"/>
    <w:rsid w:val="004A605F"/>
    <w:rsid w:val="004C1A56"/>
    <w:rsid w:val="004C2A1C"/>
    <w:rsid w:val="004C49C9"/>
    <w:rsid w:val="004C5CFA"/>
    <w:rsid w:val="004D3EAE"/>
    <w:rsid w:val="004D7ADD"/>
    <w:rsid w:val="004E31B2"/>
    <w:rsid w:val="004F24C1"/>
    <w:rsid w:val="004F361A"/>
    <w:rsid w:val="004F3787"/>
    <w:rsid w:val="004F78AA"/>
    <w:rsid w:val="00506DA0"/>
    <w:rsid w:val="00510D4D"/>
    <w:rsid w:val="0051421C"/>
    <w:rsid w:val="00515084"/>
    <w:rsid w:val="00522637"/>
    <w:rsid w:val="0052582C"/>
    <w:rsid w:val="005260FA"/>
    <w:rsid w:val="005334D9"/>
    <w:rsid w:val="005434BC"/>
    <w:rsid w:val="00547A7F"/>
    <w:rsid w:val="00547B09"/>
    <w:rsid w:val="00561319"/>
    <w:rsid w:val="00561DA3"/>
    <w:rsid w:val="00562453"/>
    <w:rsid w:val="0056414A"/>
    <w:rsid w:val="00566225"/>
    <w:rsid w:val="00566D51"/>
    <w:rsid w:val="00570AD8"/>
    <w:rsid w:val="00574EEB"/>
    <w:rsid w:val="0058301A"/>
    <w:rsid w:val="005867B6"/>
    <w:rsid w:val="00593FCF"/>
    <w:rsid w:val="00594384"/>
    <w:rsid w:val="0059477F"/>
    <w:rsid w:val="00596732"/>
    <w:rsid w:val="005A76C5"/>
    <w:rsid w:val="005B02C3"/>
    <w:rsid w:val="005B086C"/>
    <w:rsid w:val="005B3CC4"/>
    <w:rsid w:val="005C4A57"/>
    <w:rsid w:val="005D2FFC"/>
    <w:rsid w:val="005E5B1F"/>
    <w:rsid w:val="005F054A"/>
    <w:rsid w:val="005F285E"/>
    <w:rsid w:val="005F3244"/>
    <w:rsid w:val="005F62F5"/>
    <w:rsid w:val="00605D0C"/>
    <w:rsid w:val="006206FF"/>
    <w:rsid w:val="00623F65"/>
    <w:rsid w:val="00624403"/>
    <w:rsid w:val="00630392"/>
    <w:rsid w:val="0064239D"/>
    <w:rsid w:val="006510EF"/>
    <w:rsid w:val="00661A07"/>
    <w:rsid w:val="00661ACC"/>
    <w:rsid w:val="0066224E"/>
    <w:rsid w:val="00662A32"/>
    <w:rsid w:val="00664C7A"/>
    <w:rsid w:val="00666C6B"/>
    <w:rsid w:val="00670E5B"/>
    <w:rsid w:val="006735FE"/>
    <w:rsid w:val="006960EF"/>
    <w:rsid w:val="00697BA2"/>
    <w:rsid w:val="006A057D"/>
    <w:rsid w:val="006A33B5"/>
    <w:rsid w:val="006A3C7B"/>
    <w:rsid w:val="006A6F96"/>
    <w:rsid w:val="006C2329"/>
    <w:rsid w:val="006C4F84"/>
    <w:rsid w:val="006D4570"/>
    <w:rsid w:val="006E53E8"/>
    <w:rsid w:val="006F5109"/>
    <w:rsid w:val="006F7CB9"/>
    <w:rsid w:val="007023D0"/>
    <w:rsid w:val="007220E8"/>
    <w:rsid w:val="00727027"/>
    <w:rsid w:val="0072710B"/>
    <w:rsid w:val="00730371"/>
    <w:rsid w:val="007308D4"/>
    <w:rsid w:val="00732EE9"/>
    <w:rsid w:val="00733B9D"/>
    <w:rsid w:val="00735EFE"/>
    <w:rsid w:val="00741959"/>
    <w:rsid w:val="00742EF5"/>
    <w:rsid w:val="007450D2"/>
    <w:rsid w:val="007529F8"/>
    <w:rsid w:val="0075471A"/>
    <w:rsid w:val="00761577"/>
    <w:rsid w:val="00764843"/>
    <w:rsid w:val="00764E23"/>
    <w:rsid w:val="0077091A"/>
    <w:rsid w:val="00770DB7"/>
    <w:rsid w:val="00773A80"/>
    <w:rsid w:val="00773EE9"/>
    <w:rsid w:val="0077421C"/>
    <w:rsid w:val="00780D7D"/>
    <w:rsid w:val="007820D8"/>
    <w:rsid w:val="00787BEF"/>
    <w:rsid w:val="007A57B5"/>
    <w:rsid w:val="007B1ADC"/>
    <w:rsid w:val="007B1CE4"/>
    <w:rsid w:val="007B4B03"/>
    <w:rsid w:val="007C206A"/>
    <w:rsid w:val="007D0FE5"/>
    <w:rsid w:val="007D50C2"/>
    <w:rsid w:val="007E0B2F"/>
    <w:rsid w:val="007E0FE7"/>
    <w:rsid w:val="007E17E5"/>
    <w:rsid w:val="007E62D8"/>
    <w:rsid w:val="007E6FE2"/>
    <w:rsid w:val="007F2405"/>
    <w:rsid w:val="007F6B31"/>
    <w:rsid w:val="0080385A"/>
    <w:rsid w:val="008135E6"/>
    <w:rsid w:val="008233E2"/>
    <w:rsid w:val="00824D65"/>
    <w:rsid w:val="00830F13"/>
    <w:rsid w:val="008321BB"/>
    <w:rsid w:val="00835267"/>
    <w:rsid w:val="0083636D"/>
    <w:rsid w:val="008373BB"/>
    <w:rsid w:val="008436BE"/>
    <w:rsid w:val="00852924"/>
    <w:rsid w:val="00870F95"/>
    <w:rsid w:val="00872E8B"/>
    <w:rsid w:val="00873219"/>
    <w:rsid w:val="00874C28"/>
    <w:rsid w:val="008772FF"/>
    <w:rsid w:val="00894D62"/>
    <w:rsid w:val="00894F39"/>
    <w:rsid w:val="008A5E1B"/>
    <w:rsid w:val="008B3487"/>
    <w:rsid w:val="008B760D"/>
    <w:rsid w:val="008C1C06"/>
    <w:rsid w:val="008D37E7"/>
    <w:rsid w:val="008D7AF5"/>
    <w:rsid w:val="008E3F14"/>
    <w:rsid w:val="008E5C15"/>
    <w:rsid w:val="008E6900"/>
    <w:rsid w:val="00906F7E"/>
    <w:rsid w:val="00910C78"/>
    <w:rsid w:val="0091150A"/>
    <w:rsid w:val="00916DF6"/>
    <w:rsid w:val="00930ED1"/>
    <w:rsid w:val="0093259B"/>
    <w:rsid w:val="00934595"/>
    <w:rsid w:val="00941C0C"/>
    <w:rsid w:val="00944FA7"/>
    <w:rsid w:val="009472A5"/>
    <w:rsid w:val="0095152A"/>
    <w:rsid w:val="00956667"/>
    <w:rsid w:val="00956B94"/>
    <w:rsid w:val="00957067"/>
    <w:rsid w:val="00957DBF"/>
    <w:rsid w:val="00966CC9"/>
    <w:rsid w:val="00976CE2"/>
    <w:rsid w:val="009837F6"/>
    <w:rsid w:val="009A31C6"/>
    <w:rsid w:val="009A352C"/>
    <w:rsid w:val="009C44A3"/>
    <w:rsid w:val="009E69DB"/>
    <w:rsid w:val="00A07047"/>
    <w:rsid w:val="00A24AF0"/>
    <w:rsid w:val="00A3494F"/>
    <w:rsid w:val="00A367AE"/>
    <w:rsid w:val="00A540EA"/>
    <w:rsid w:val="00A55A09"/>
    <w:rsid w:val="00A560AB"/>
    <w:rsid w:val="00A63D57"/>
    <w:rsid w:val="00A65EA1"/>
    <w:rsid w:val="00A708B7"/>
    <w:rsid w:val="00A744E4"/>
    <w:rsid w:val="00A76FDE"/>
    <w:rsid w:val="00A9201E"/>
    <w:rsid w:val="00A93641"/>
    <w:rsid w:val="00AA08AC"/>
    <w:rsid w:val="00AB34A6"/>
    <w:rsid w:val="00AC0B09"/>
    <w:rsid w:val="00AC257C"/>
    <w:rsid w:val="00AC53D2"/>
    <w:rsid w:val="00AE6A4E"/>
    <w:rsid w:val="00B00DDD"/>
    <w:rsid w:val="00B05BA4"/>
    <w:rsid w:val="00B10BFC"/>
    <w:rsid w:val="00B145EB"/>
    <w:rsid w:val="00B154AE"/>
    <w:rsid w:val="00B20493"/>
    <w:rsid w:val="00B217A6"/>
    <w:rsid w:val="00B23EFA"/>
    <w:rsid w:val="00B3144A"/>
    <w:rsid w:val="00B31DDB"/>
    <w:rsid w:val="00B36E5B"/>
    <w:rsid w:val="00B40FD3"/>
    <w:rsid w:val="00B42200"/>
    <w:rsid w:val="00B473F6"/>
    <w:rsid w:val="00B47C25"/>
    <w:rsid w:val="00B633C2"/>
    <w:rsid w:val="00B63A1C"/>
    <w:rsid w:val="00B7373D"/>
    <w:rsid w:val="00B75AF8"/>
    <w:rsid w:val="00B84741"/>
    <w:rsid w:val="00B94116"/>
    <w:rsid w:val="00BA26B8"/>
    <w:rsid w:val="00BA4ED2"/>
    <w:rsid w:val="00BB25FA"/>
    <w:rsid w:val="00BC02D4"/>
    <w:rsid w:val="00BC237E"/>
    <w:rsid w:val="00BC489F"/>
    <w:rsid w:val="00BD3383"/>
    <w:rsid w:val="00BD3EFE"/>
    <w:rsid w:val="00BD7E3E"/>
    <w:rsid w:val="00BE0FA6"/>
    <w:rsid w:val="00BF074E"/>
    <w:rsid w:val="00BF6C4E"/>
    <w:rsid w:val="00BF7392"/>
    <w:rsid w:val="00C10410"/>
    <w:rsid w:val="00C15FDA"/>
    <w:rsid w:val="00C17587"/>
    <w:rsid w:val="00C20DDA"/>
    <w:rsid w:val="00C2216A"/>
    <w:rsid w:val="00C34CE3"/>
    <w:rsid w:val="00C3567A"/>
    <w:rsid w:val="00C36ADA"/>
    <w:rsid w:val="00C5021B"/>
    <w:rsid w:val="00C519FB"/>
    <w:rsid w:val="00C563D9"/>
    <w:rsid w:val="00C600BE"/>
    <w:rsid w:val="00C6508D"/>
    <w:rsid w:val="00C6665B"/>
    <w:rsid w:val="00C70EE0"/>
    <w:rsid w:val="00C728A1"/>
    <w:rsid w:val="00C749DD"/>
    <w:rsid w:val="00C85D77"/>
    <w:rsid w:val="00CA22A2"/>
    <w:rsid w:val="00CA43D7"/>
    <w:rsid w:val="00CA4B43"/>
    <w:rsid w:val="00CA6619"/>
    <w:rsid w:val="00CB2F6E"/>
    <w:rsid w:val="00CB3CB7"/>
    <w:rsid w:val="00CD2A69"/>
    <w:rsid w:val="00CD631F"/>
    <w:rsid w:val="00CE693A"/>
    <w:rsid w:val="00CE7623"/>
    <w:rsid w:val="00CF0825"/>
    <w:rsid w:val="00CF3056"/>
    <w:rsid w:val="00D03F78"/>
    <w:rsid w:val="00D05C74"/>
    <w:rsid w:val="00D15A4C"/>
    <w:rsid w:val="00D22AB2"/>
    <w:rsid w:val="00D27252"/>
    <w:rsid w:val="00D36409"/>
    <w:rsid w:val="00D43C01"/>
    <w:rsid w:val="00D46CB6"/>
    <w:rsid w:val="00D50FDD"/>
    <w:rsid w:val="00D56150"/>
    <w:rsid w:val="00D604F4"/>
    <w:rsid w:val="00D60774"/>
    <w:rsid w:val="00D63C89"/>
    <w:rsid w:val="00D67239"/>
    <w:rsid w:val="00D70610"/>
    <w:rsid w:val="00D87596"/>
    <w:rsid w:val="00D909B5"/>
    <w:rsid w:val="00D91C18"/>
    <w:rsid w:val="00D948F1"/>
    <w:rsid w:val="00D96155"/>
    <w:rsid w:val="00D97E08"/>
    <w:rsid w:val="00DA0A76"/>
    <w:rsid w:val="00DA1426"/>
    <w:rsid w:val="00DA2457"/>
    <w:rsid w:val="00DA43B3"/>
    <w:rsid w:val="00DB491F"/>
    <w:rsid w:val="00DC627B"/>
    <w:rsid w:val="00DD03AA"/>
    <w:rsid w:val="00DD4FB0"/>
    <w:rsid w:val="00DE0234"/>
    <w:rsid w:val="00DE031D"/>
    <w:rsid w:val="00DE2FFF"/>
    <w:rsid w:val="00DE419A"/>
    <w:rsid w:val="00DF06C6"/>
    <w:rsid w:val="00DF7E58"/>
    <w:rsid w:val="00E0011C"/>
    <w:rsid w:val="00E0101E"/>
    <w:rsid w:val="00E05ACB"/>
    <w:rsid w:val="00E07552"/>
    <w:rsid w:val="00E14CDD"/>
    <w:rsid w:val="00E34748"/>
    <w:rsid w:val="00E35650"/>
    <w:rsid w:val="00E35F92"/>
    <w:rsid w:val="00E378F9"/>
    <w:rsid w:val="00E4077F"/>
    <w:rsid w:val="00E45529"/>
    <w:rsid w:val="00E5227F"/>
    <w:rsid w:val="00E60E76"/>
    <w:rsid w:val="00E64182"/>
    <w:rsid w:val="00E64F12"/>
    <w:rsid w:val="00E70B63"/>
    <w:rsid w:val="00E72530"/>
    <w:rsid w:val="00E8044E"/>
    <w:rsid w:val="00E92463"/>
    <w:rsid w:val="00E94EB4"/>
    <w:rsid w:val="00E95C22"/>
    <w:rsid w:val="00E9669D"/>
    <w:rsid w:val="00EA5115"/>
    <w:rsid w:val="00EA61F6"/>
    <w:rsid w:val="00EB10B2"/>
    <w:rsid w:val="00EB7249"/>
    <w:rsid w:val="00EC5CFA"/>
    <w:rsid w:val="00EC665F"/>
    <w:rsid w:val="00ED18B9"/>
    <w:rsid w:val="00ED618B"/>
    <w:rsid w:val="00EE14E4"/>
    <w:rsid w:val="00EE75FF"/>
    <w:rsid w:val="00EE7862"/>
    <w:rsid w:val="00EF12B4"/>
    <w:rsid w:val="00F16A63"/>
    <w:rsid w:val="00F20081"/>
    <w:rsid w:val="00F2680A"/>
    <w:rsid w:val="00F32BC9"/>
    <w:rsid w:val="00F33DAA"/>
    <w:rsid w:val="00F34AFA"/>
    <w:rsid w:val="00F424AC"/>
    <w:rsid w:val="00F44558"/>
    <w:rsid w:val="00F467E1"/>
    <w:rsid w:val="00F52C9A"/>
    <w:rsid w:val="00F61F77"/>
    <w:rsid w:val="00F720A0"/>
    <w:rsid w:val="00F75263"/>
    <w:rsid w:val="00F7558A"/>
    <w:rsid w:val="00F8164D"/>
    <w:rsid w:val="00F81C42"/>
    <w:rsid w:val="00F86943"/>
    <w:rsid w:val="00F938A3"/>
    <w:rsid w:val="00F943F0"/>
    <w:rsid w:val="00F96C77"/>
    <w:rsid w:val="00FB0DE2"/>
    <w:rsid w:val="00FC52D6"/>
    <w:rsid w:val="00FC53E2"/>
    <w:rsid w:val="00FD2474"/>
    <w:rsid w:val="00FD29E0"/>
    <w:rsid w:val="00FD421D"/>
    <w:rsid w:val="00FD5F00"/>
    <w:rsid w:val="00FD60F7"/>
    <w:rsid w:val="00FD7CA7"/>
    <w:rsid w:val="00FE001C"/>
    <w:rsid w:val="00FE7ADB"/>
    <w:rsid w:val="00FF48DE"/>
    <w:rsid w:val="00FF6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3D3EE3"/>
  <w15:docId w15:val="{37F56C5C-D31B-4515-A38E-33E25752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semiHidden/>
    <w:rsid w:val="003D593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semiHidden/>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E455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7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BD178-E4CB-4FA8-AB4E-2E30BF38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2766</Words>
  <Characters>16597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Galant</dc:creator>
  <cp:lastModifiedBy>b.w.</cp:lastModifiedBy>
  <cp:revision>2</cp:revision>
  <cp:lastPrinted>2022-09-16T11:00:00Z</cp:lastPrinted>
  <dcterms:created xsi:type="dcterms:W3CDTF">2023-01-09T10:40:00Z</dcterms:created>
  <dcterms:modified xsi:type="dcterms:W3CDTF">2023-01-09T10:40:00Z</dcterms:modified>
</cp:coreProperties>
</file>