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9D87" w14:textId="44C9441D" w:rsidR="002706CD" w:rsidRPr="00F75263" w:rsidRDefault="002706CD" w:rsidP="002706CD">
      <w:pPr>
        <w:pStyle w:val="Nagwek"/>
        <w:spacing w:before="120" w:after="120" w:line="240" w:lineRule="atLeast"/>
        <w:rPr>
          <w:rFonts w:ascii="Arial" w:hAnsi="Arial" w:cs="Arial"/>
          <w:sz w:val="24"/>
          <w:szCs w:val="24"/>
        </w:rPr>
      </w:pPr>
      <w:r w:rsidRPr="00F75263">
        <w:rPr>
          <w:rFonts w:ascii="Arial" w:hAnsi="Arial" w:cs="Arial"/>
          <w:sz w:val="24"/>
          <w:szCs w:val="24"/>
        </w:rPr>
        <w:t xml:space="preserve">Załącznik do uchwały nr  </w:t>
      </w:r>
      <w:r>
        <w:rPr>
          <w:rFonts w:ascii="Arial" w:hAnsi="Arial" w:cs="Arial"/>
          <w:sz w:val="24"/>
          <w:szCs w:val="24"/>
        </w:rPr>
        <w:t xml:space="preserve">371 </w:t>
      </w:r>
      <w:r w:rsidRPr="00F75263">
        <w:rPr>
          <w:rFonts w:ascii="Arial" w:hAnsi="Arial" w:cs="Arial"/>
          <w:sz w:val="24"/>
          <w:szCs w:val="24"/>
        </w:rPr>
        <w:t xml:space="preserve">Komitetu Monitorującego Program Operacyjny Wiedza Edukacja Rozwój z dnia </w:t>
      </w:r>
      <w:r>
        <w:rPr>
          <w:rFonts w:ascii="Arial" w:hAnsi="Arial" w:cs="Arial"/>
          <w:sz w:val="24"/>
          <w:szCs w:val="24"/>
        </w:rPr>
        <w:t xml:space="preserve">23 listopada 2021 r. </w:t>
      </w:r>
    </w:p>
    <w:p w14:paraId="231E0DEB" w14:textId="77777777" w:rsidR="008D7AF5" w:rsidRPr="00F75263" w:rsidRDefault="008D7AF5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tbl>
      <w:tblPr>
        <w:tblW w:w="50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4"/>
        <w:gridCol w:w="2748"/>
        <w:gridCol w:w="4569"/>
      </w:tblGrid>
      <w:tr w:rsidR="005D1A85" w:rsidRPr="005D1A85" w14:paraId="102BCEDB" w14:textId="77777777" w:rsidTr="005D1A85">
        <w:trPr>
          <w:trHeight w:val="21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08B59B" w14:textId="77777777" w:rsidR="005D1A85" w:rsidRPr="005D1A85" w:rsidRDefault="005D1A85" w:rsidP="0081459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>PLAN DZIAŁANIA NA ROK 2021</w:t>
            </w:r>
          </w:p>
        </w:tc>
      </w:tr>
      <w:tr w:rsidR="005D1A85" w:rsidRPr="005D1A85" w14:paraId="46D5C463" w14:textId="77777777" w:rsidTr="005D1A85">
        <w:trPr>
          <w:trHeight w:val="218"/>
          <w:jc w:val="center"/>
        </w:trPr>
        <w:tc>
          <w:tcPr>
            <w:tcW w:w="25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BAB6F56" w14:textId="77777777" w:rsidR="005D1A85" w:rsidRPr="005D1A85" w:rsidRDefault="005D1A85" w:rsidP="005D1A8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>WERSJA PLANU DZIAŁANIA</w:t>
            </w:r>
          </w:p>
        </w:tc>
        <w:tc>
          <w:tcPr>
            <w:tcW w:w="24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B36E4" w14:textId="77777777" w:rsidR="005D1A85" w:rsidRPr="005D1A85" w:rsidRDefault="005D1A85" w:rsidP="0081459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>2021/1</w:t>
            </w:r>
          </w:p>
        </w:tc>
      </w:tr>
      <w:tr w:rsidR="005D1A85" w:rsidRPr="005D1A85" w14:paraId="390786CE" w14:textId="77777777" w:rsidTr="005D1A85">
        <w:trPr>
          <w:trHeight w:val="21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1DBD1AD" w14:textId="77777777" w:rsidR="005D1A85" w:rsidRPr="005D1A85" w:rsidRDefault="005D1A85" w:rsidP="0081459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>INFORMACJE O INSTYTUCJI OPRACOWUJĄCEJ PLAN DZIAŁANIA</w:t>
            </w:r>
          </w:p>
        </w:tc>
      </w:tr>
      <w:tr w:rsidR="005D1A85" w:rsidRPr="005D1A85" w14:paraId="1A3594BC" w14:textId="77777777" w:rsidTr="005D1A85">
        <w:trPr>
          <w:trHeight w:val="567"/>
          <w:jc w:val="center"/>
        </w:trPr>
        <w:tc>
          <w:tcPr>
            <w:tcW w:w="103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0CB6613" w14:textId="77777777" w:rsidR="005D1A85" w:rsidRPr="005D1A85" w:rsidRDefault="005D1A85" w:rsidP="0081459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 xml:space="preserve">Numer i nazwa </w:t>
            </w:r>
            <w:r w:rsidRPr="005D1A85">
              <w:rPr>
                <w:rFonts w:ascii="Arial" w:hAnsi="Arial" w:cs="Arial"/>
                <w:b/>
                <w:sz w:val="20"/>
                <w:szCs w:val="20"/>
              </w:rPr>
              <w:br/>
              <w:t xml:space="preserve">osi priorytetowej </w:t>
            </w:r>
          </w:p>
        </w:tc>
        <w:tc>
          <w:tcPr>
            <w:tcW w:w="3965" w:type="pct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17CD8E" w14:textId="77777777" w:rsidR="005D1A85" w:rsidRPr="005D1A85" w:rsidRDefault="005D1A85" w:rsidP="00814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A85">
              <w:rPr>
                <w:rFonts w:ascii="Arial" w:hAnsi="Arial" w:cs="Arial"/>
                <w:sz w:val="20"/>
                <w:szCs w:val="20"/>
              </w:rPr>
              <w:t>IV INNOWACJE SPOŁECZNE I WSPÓŁPRACA PONADNARODOWA</w:t>
            </w:r>
          </w:p>
        </w:tc>
      </w:tr>
      <w:tr w:rsidR="005D1A85" w:rsidRPr="005D1A85" w14:paraId="230D9852" w14:textId="77777777" w:rsidTr="005D1A85">
        <w:trPr>
          <w:trHeight w:val="567"/>
          <w:jc w:val="center"/>
        </w:trPr>
        <w:tc>
          <w:tcPr>
            <w:tcW w:w="10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97A31A" w14:textId="77777777" w:rsidR="005D1A85" w:rsidRPr="005D1A85" w:rsidRDefault="005D1A85" w:rsidP="0081459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 xml:space="preserve">Instytucja </w:t>
            </w:r>
          </w:p>
        </w:tc>
        <w:tc>
          <w:tcPr>
            <w:tcW w:w="3965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58D5C5" w14:textId="77777777" w:rsidR="005D1A85" w:rsidRPr="005D1A85" w:rsidRDefault="005D1A85" w:rsidP="00814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A85">
              <w:rPr>
                <w:rFonts w:ascii="Arial" w:hAnsi="Arial" w:cs="Arial"/>
                <w:sz w:val="20"/>
                <w:szCs w:val="20"/>
              </w:rPr>
              <w:t xml:space="preserve">Ministerstwo Funduszy i Polityki Regionalnej </w:t>
            </w:r>
          </w:p>
        </w:tc>
      </w:tr>
      <w:tr w:rsidR="005D1A85" w:rsidRPr="005D1A85" w14:paraId="6DD62530" w14:textId="77777777" w:rsidTr="005D1A85">
        <w:trPr>
          <w:trHeight w:val="567"/>
          <w:jc w:val="center"/>
        </w:trPr>
        <w:tc>
          <w:tcPr>
            <w:tcW w:w="10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B994CA4" w14:textId="77777777" w:rsidR="005D1A85" w:rsidRPr="005D1A85" w:rsidRDefault="005D1A85" w:rsidP="0081459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 xml:space="preserve">Adres korespondencyjny </w:t>
            </w:r>
          </w:p>
        </w:tc>
        <w:tc>
          <w:tcPr>
            <w:tcW w:w="3965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1E1B07" w14:textId="77777777" w:rsidR="005D1A85" w:rsidRPr="005D1A85" w:rsidRDefault="005D1A85" w:rsidP="00814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A85">
              <w:rPr>
                <w:rFonts w:ascii="Arial" w:hAnsi="Arial" w:cs="Arial"/>
                <w:sz w:val="20"/>
                <w:szCs w:val="20"/>
              </w:rPr>
              <w:t>Ul. Wspólna 2/4</w:t>
            </w:r>
          </w:p>
          <w:p w14:paraId="54FFA127" w14:textId="77777777" w:rsidR="005D1A85" w:rsidRPr="005D1A85" w:rsidRDefault="005D1A85" w:rsidP="00814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A85">
              <w:rPr>
                <w:rFonts w:ascii="Arial" w:hAnsi="Arial" w:cs="Arial"/>
                <w:sz w:val="20"/>
                <w:szCs w:val="20"/>
              </w:rPr>
              <w:t>00-926 Warszawa</w:t>
            </w:r>
          </w:p>
        </w:tc>
      </w:tr>
      <w:tr w:rsidR="005D1A85" w:rsidRPr="005D1A85" w14:paraId="76B18BF2" w14:textId="77777777" w:rsidTr="005D1A85">
        <w:trPr>
          <w:trHeight w:val="567"/>
          <w:jc w:val="center"/>
        </w:trPr>
        <w:tc>
          <w:tcPr>
            <w:tcW w:w="10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B5DA257" w14:textId="77777777" w:rsidR="005D1A85" w:rsidRPr="005D1A85" w:rsidRDefault="005D1A85" w:rsidP="0081459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965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29BFD7" w14:textId="77777777" w:rsidR="005D1A85" w:rsidRPr="005D1A85" w:rsidRDefault="005D1A85" w:rsidP="005D1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22 273 77 97</w:t>
            </w:r>
          </w:p>
        </w:tc>
      </w:tr>
      <w:tr w:rsidR="005D1A85" w:rsidRPr="005D1A85" w14:paraId="7AFEA272" w14:textId="77777777" w:rsidTr="005D1A85">
        <w:trPr>
          <w:trHeight w:val="567"/>
          <w:jc w:val="center"/>
        </w:trPr>
        <w:tc>
          <w:tcPr>
            <w:tcW w:w="10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52B1E3" w14:textId="77777777" w:rsidR="005D1A85" w:rsidRPr="005D1A85" w:rsidRDefault="005D1A85" w:rsidP="0081459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>Faks</w:t>
            </w:r>
          </w:p>
        </w:tc>
        <w:tc>
          <w:tcPr>
            <w:tcW w:w="3965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7F0564" w14:textId="77777777" w:rsidR="005D1A85" w:rsidRPr="005D1A85" w:rsidRDefault="005D1A85" w:rsidP="00814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A85">
              <w:rPr>
                <w:rFonts w:ascii="Arial" w:hAnsi="Arial" w:cs="Arial"/>
                <w:sz w:val="20"/>
                <w:szCs w:val="20"/>
              </w:rPr>
              <w:t>22 273 89 19</w:t>
            </w:r>
          </w:p>
        </w:tc>
      </w:tr>
      <w:tr w:rsidR="005D1A85" w:rsidRPr="005D1A85" w14:paraId="2C6C3A8A" w14:textId="77777777" w:rsidTr="005D1A85">
        <w:trPr>
          <w:trHeight w:val="567"/>
          <w:jc w:val="center"/>
        </w:trPr>
        <w:tc>
          <w:tcPr>
            <w:tcW w:w="10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5AAD672" w14:textId="77777777" w:rsidR="005D1A85" w:rsidRPr="005D1A85" w:rsidRDefault="005D1A85" w:rsidP="0081459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3965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F17D99" w14:textId="77777777" w:rsidR="005D1A85" w:rsidRPr="005D1A85" w:rsidRDefault="005D1A85" w:rsidP="00814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A85">
              <w:rPr>
                <w:rFonts w:ascii="Arial" w:hAnsi="Arial" w:cs="Arial"/>
                <w:sz w:val="20"/>
                <w:szCs w:val="20"/>
              </w:rPr>
              <w:t>SekretariatDZF@mfipr.gov.pl</w:t>
            </w:r>
          </w:p>
        </w:tc>
      </w:tr>
      <w:tr w:rsidR="005D1A85" w:rsidRPr="005D1A85" w14:paraId="7060D915" w14:textId="77777777" w:rsidTr="005D1A85">
        <w:trPr>
          <w:trHeight w:val="851"/>
          <w:jc w:val="center"/>
        </w:trPr>
        <w:tc>
          <w:tcPr>
            <w:tcW w:w="103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F0E7F72" w14:textId="77777777" w:rsidR="005D1A85" w:rsidRPr="005D1A85" w:rsidRDefault="005D1A85" w:rsidP="0081459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A85">
              <w:rPr>
                <w:rFonts w:ascii="Arial" w:hAnsi="Arial" w:cs="Arial"/>
                <w:b/>
                <w:sz w:val="20"/>
                <w:szCs w:val="20"/>
              </w:rPr>
              <w:t xml:space="preserve">Dane kontaktowe osoby (osób) </w:t>
            </w:r>
            <w:r w:rsidRPr="005D1A85">
              <w:rPr>
                <w:rFonts w:ascii="Arial" w:hAnsi="Arial" w:cs="Arial"/>
                <w:b/>
                <w:sz w:val="20"/>
                <w:szCs w:val="20"/>
              </w:rPr>
              <w:br/>
              <w:t xml:space="preserve">do kontaktów roboczych </w:t>
            </w:r>
          </w:p>
        </w:tc>
        <w:tc>
          <w:tcPr>
            <w:tcW w:w="3965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3C24E8" w14:textId="77777777" w:rsidR="005D1A85" w:rsidRPr="005D1A85" w:rsidRDefault="005D1A85" w:rsidP="005D1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A85">
              <w:rPr>
                <w:rFonts w:ascii="Arial" w:hAnsi="Arial" w:cs="Arial"/>
                <w:sz w:val="20"/>
                <w:szCs w:val="20"/>
              </w:rPr>
              <w:t xml:space="preserve">Bartosz Siemiątkowski – Naczelnik Wydziału Innowacji Społecznych </w:t>
            </w:r>
          </w:p>
        </w:tc>
      </w:tr>
    </w:tbl>
    <w:p w14:paraId="4E74DDC2" w14:textId="77777777" w:rsidR="000E189A" w:rsidRDefault="000E189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  <w:bookmarkStart w:id="0" w:name="ezdPracownikAtrybut2"/>
      <w:bookmarkStart w:id="1" w:name="ezdDataPodpisu_2"/>
      <w:bookmarkEnd w:id="0"/>
      <w:bookmarkEnd w:id="1"/>
    </w:p>
    <w:p w14:paraId="746C414D" w14:textId="77777777" w:rsidR="001065EB" w:rsidRDefault="001065EB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78122167" w14:textId="77777777" w:rsidR="00AE69EE" w:rsidRDefault="00AE69EE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6A986520" w14:textId="77777777" w:rsidR="00AE69EE" w:rsidRDefault="00AE69EE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736C6E70" w14:textId="77777777" w:rsidR="00AE69EE" w:rsidRDefault="00AE69EE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21D5BB85" w14:textId="77777777" w:rsidR="00AE69EE" w:rsidRDefault="00AE69EE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1F87A879" w14:textId="77777777" w:rsidR="00AE69EE" w:rsidRDefault="00AE69EE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3256E48D" w14:textId="77777777" w:rsidR="00AE69EE" w:rsidRDefault="00AE69EE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4A8AD0B6" w14:textId="77777777" w:rsidR="005D1A85" w:rsidRDefault="005D1A85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4A75A7A4" w14:textId="77777777" w:rsidR="00AE69EE" w:rsidRDefault="00AE69EE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1EAD0A09" w14:textId="77777777" w:rsidR="00AE69EE" w:rsidRDefault="00AE69EE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6F66AB5F" w14:textId="77777777" w:rsidR="002D03BC" w:rsidRDefault="002D03BC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0C94CE1" w14:textId="77777777" w:rsidR="00AE69EE" w:rsidRDefault="00AE69EE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59726D5" w14:textId="77777777" w:rsidR="00AE69EE" w:rsidRDefault="00AE69EE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22B9A414" w14:textId="77777777" w:rsidR="00ED2B1A" w:rsidRDefault="00ED2B1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tbl>
      <w:tblPr>
        <w:tblW w:w="9581" w:type="dxa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12"/>
        <w:gridCol w:w="218"/>
        <w:gridCol w:w="220"/>
        <w:gridCol w:w="280"/>
        <w:gridCol w:w="993"/>
        <w:gridCol w:w="841"/>
        <w:gridCol w:w="728"/>
        <w:gridCol w:w="1050"/>
        <w:gridCol w:w="105"/>
        <w:gridCol w:w="793"/>
        <w:gridCol w:w="1121"/>
        <w:gridCol w:w="224"/>
        <w:gridCol w:w="72"/>
        <w:gridCol w:w="1624"/>
      </w:tblGrid>
      <w:tr w:rsidR="00ED2B1A" w14:paraId="5C0B5951" w14:textId="77777777" w:rsidTr="007C309B">
        <w:trPr>
          <w:trHeight w:val="351"/>
        </w:trPr>
        <w:tc>
          <w:tcPr>
            <w:tcW w:w="3864" w:type="dxa"/>
            <w:gridSpan w:val="6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46D85FEB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DZIAŁANIE/PODDZIAŁANIE PO WER</w:t>
            </w:r>
          </w:p>
        </w:tc>
        <w:tc>
          <w:tcPr>
            <w:tcW w:w="5717" w:type="dxa"/>
            <w:gridSpan w:val="8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E48D3D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Działanie 4.1 Innowacje społeczne</w:t>
            </w:r>
          </w:p>
        </w:tc>
      </w:tr>
      <w:tr w:rsidR="00ED2B1A" w14:paraId="353A0DAB" w14:textId="77777777" w:rsidTr="007C309B">
        <w:trPr>
          <w:trHeight w:val="351"/>
        </w:trPr>
        <w:tc>
          <w:tcPr>
            <w:tcW w:w="9581" w:type="dxa"/>
            <w:gridSpan w:val="14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3A6E5184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FISZKA PROJEKTU POZAKONKURSOWEGO WDROŻENIOWEGO</w:t>
            </w:r>
          </w:p>
        </w:tc>
      </w:tr>
      <w:tr w:rsidR="00ED2B1A" w14:paraId="07AAD4E8" w14:textId="77777777" w:rsidTr="007C309B">
        <w:trPr>
          <w:trHeight w:val="351"/>
        </w:trPr>
        <w:tc>
          <w:tcPr>
            <w:tcW w:w="9581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ABF8F"/>
            <w:vAlign w:val="center"/>
          </w:tcPr>
          <w:p w14:paraId="0F2B355C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PODSTAWOWE INFORMACJE O PROJEKCIE</w:t>
            </w:r>
          </w:p>
        </w:tc>
      </w:tr>
      <w:tr w:rsidR="00ED2B1A" w14:paraId="302AE320" w14:textId="77777777" w:rsidTr="007C309B">
        <w:trPr>
          <w:trHeight w:val="351"/>
        </w:trPr>
        <w:tc>
          <w:tcPr>
            <w:tcW w:w="2030" w:type="dxa"/>
            <w:gridSpan w:val="4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ABF8F"/>
            <w:vAlign w:val="center"/>
          </w:tcPr>
          <w:p w14:paraId="3FB66A86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Tytuł lub zakres Projektu</w:t>
            </w:r>
          </w:p>
        </w:tc>
        <w:tc>
          <w:tcPr>
            <w:tcW w:w="7551" w:type="dxa"/>
            <w:gridSpan w:val="10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42170E4" w14:textId="77777777" w:rsidR="00ED2B1A" w:rsidRDefault="00ED2B1A" w:rsidP="007C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W w:w="69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954"/>
            </w:tblGrid>
            <w:tr w:rsidR="00ED2B1A" w14:paraId="47C327C1" w14:textId="77777777" w:rsidTr="007C309B">
              <w:trPr>
                <w:trHeight w:val="237"/>
              </w:trPr>
              <w:tc>
                <w:tcPr>
                  <w:tcW w:w="6954" w:type="dxa"/>
                </w:tcPr>
                <w:p w14:paraId="21F4CF58" w14:textId="77777777" w:rsidR="00ED2B1A" w:rsidRPr="00D14DF6" w:rsidRDefault="00ED2B1A" w:rsidP="007C309B">
                  <w:pPr>
                    <w:spacing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Projekt pn. </w:t>
                  </w:r>
                  <w:r w:rsidRPr="00D14DF6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Kariera Jutra</w:t>
                  </w:r>
                </w:p>
              </w:tc>
            </w:tr>
          </w:tbl>
          <w:p w14:paraId="24D8E737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2B1A" w14:paraId="37009C5C" w14:textId="77777777" w:rsidTr="007C309B">
        <w:trPr>
          <w:trHeight w:val="351"/>
        </w:trPr>
        <w:tc>
          <w:tcPr>
            <w:tcW w:w="2030" w:type="dxa"/>
            <w:gridSpan w:val="4"/>
            <w:tcBorders>
              <w:top w:val="single" w:sz="6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78581AAA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Uzasadnienie realizacji Projektu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trybie pozakonkursowym</w:t>
            </w:r>
          </w:p>
        </w:tc>
        <w:tc>
          <w:tcPr>
            <w:tcW w:w="7551" w:type="dxa"/>
            <w:gridSpan w:val="10"/>
            <w:tcBorders>
              <w:top w:val="single" w:sz="6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03D601" w14:textId="77777777" w:rsidR="00ED2B1A" w:rsidRDefault="00ED2B1A" w:rsidP="007C309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011">
              <w:rPr>
                <w:rFonts w:ascii="Arial" w:hAnsi="Arial" w:cs="Arial"/>
                <w:b/>
                <w:sz w:val="20"/>
                <w:szCs w:val="20"/>
              </w:rPr>
              <w:t>Temat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C93DB7">
              <w:rPr>
                <w:rFonts w:ascii="Arial" w:hAnsi="Arial" w:cs="Arial"/>
                <w:b/>
                <w:sz w:val="20"/>
                <w:szCs w:val="20"/>
              </w:rPr>
              <w:t>oprawa sytuacji zawodowej osób młodych borykających się z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93DB7">
              <w:rPr>
                <w:rFonts w:ascii="Arial" w:hAnsi="Arial" w:cs="Arial"/>
                <w:b/>
                <w:sz w:val="20"/>
                <w:szCs w:val="20"/>
              </w:rPr>
              <w:t>trudnościami na rynku pracy poprzez umożliwienie im podejmowania zdobywania kompetencji i doświadczenia w obszarze transformacji cyfrowej firm</w:t>
            </w:r>
          </w:p>
          <w:p w14:paraId="1935D416" w14:textId="77777777" w:rsidR="00ED2B1A" w:rsidRDefault="00ED2B1A" w:rsidP="007C309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334">
              <w:rPr>
                <w:rFonts w:ascii="Arial" w:hAnsi="Arial" w:cs="Arial"/>
                <w:sz w:val="20"/>
                <w:szCs w:val="20"/>
              </w:rPr>
              <w:t xml:space="preserve">Pandemia </w:t>
            </w:r>
            <w:r>
              <w:rPr>
                <w:rFonts w:ascii="Arial" w:hAnsi="Arial" w:cs="Arial"/>
                <w:sz w:val="20"/>
                <w:szCs w:val="20"/>
              </w:rPr>
              <w:t xml:space="preserve">COVID-19 </w:t>
            </w:r>
            <w:r w:rsidRPr="00BA6334">
              <w:rPr>
                <w:rFonts w:ascii="Arial" w:hAnsi="Arial" w:cs="Arial"/>
                <w:sz w:val="20"/>
                <w:szCs w:val="20"/>
              </w:rPr>
              <w:t xml:space="preserve">znacząco przyspieszyła i wymusiła na społeczeństwie rozwój technologii informacyjno-komunikacyjnych i dostosowanie się do </w:t>
            </w:r>
            <w:r>
              <w:rPr>
                <w:rFonts w:ascii="Arial" w:hAnsi="Arial" w:cs="Arial"/>
                <w:sz w:val="20"/>
                <w:szCs w:val="20"/>
              </w:rPr>
              <w:t xml:space="preserve">dynamicznie </w:t>
            </w:r>
            <w:r w:rsidRPr="00BA6334">
              <w:rPr>
                <w:rFonts w:ascii="Arial" w:hAnsi="Arial" w:cs="Arial"/>
                <w:sz w:val="20"/>
                <w:szCs w:val="20"/>
              </w:rPr>
              <w:t xml:space="preserve">zmieniającej się rzeczywistości. </w:t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Zarówno pracodawcy jak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83F25">
              <w:rPr>
                <w:rFonts w:ascii="Arial" w:hAnsi="Arial" w:cs="Arial"/>
                <w:sz w:val="20"/>
                <w:szCs w:val="20"/>
              </w:rPr>
              <w:t>i pracownicy, osoby poszukujące pracy zrozumieli że tzw. praca zdalna</w:t>
            </w:r>
            <w:r w:rsidRPr="10AA1408">
              <w:rPr>
                <w:rFonts w:ascii="Arial" w:hAnsi="Arial" w:cs="Arial"/>
                <w:sz w:val="20"/>
                <w:szCs w:val="20"/>
              </w:rPr>
              <w:t>,</w:t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83F25">
              <w:rPr>
                <w:rFonts w:ascii="Arial" w:hAnsi="Arial" w:cs="Arial"/>
                <w:sz w:val="20"/>
                <w:szCs w:val="20"/>
              </w:rPr>
              <w:t>szczególnie umiejętności wykorzystywania technik, narzędzi IT będą preferowane na rynku i zapewnią ciągłość zatrudnienia, rozwoju zawodowego czy osobistego.</w:t>
            </w:r>
          </w:p>
          <w:p w14:paraId="4115FCCD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83F25">
              <w:rPr>
                <w:rFonts w:ascii="Arial" w:hAnsi="Arial" w:cs="Arial"/>
                <w:sz w:val="20"/>
                <w:szCs w:val="20"/>
              </w:rPr>
              <w:t>andemi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 COVID</w:t>
            </w:r>
            <w:r>
              <w:rPr>
                <w:rFonts w:ascii="Arial" w:hAnsi="Arial" w:cs="Arial"/>
                <w:sz w:val="20"/>
                <w:szCs w:val="20"/>
              </w:rPr>
              <w:t>-19</w:t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 determin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  zmian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 zarówno w relacjach społecznych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 jak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i zawodowych. Skutki pandemii, tj. brak możliwości świadczenia usług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w bezpośrednim kontakcie z klientem, zamykanie </w:t>
            </w:r>
            <w:r>
              <w:rPr>
                <w:rFonts w:ascii="Arial" w:hAnsi="Arial" w:cs="Arial"/>
                <w:sz w:val="20"/>
                <w:szCs w:val="20"/>
              </w:rPr>
              <w:t xml:space="preserve">sklepów stacjonarnych, </w:t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zakładów, fabryk przez wzrost zachorowalności na wirusa doprowadziły do wzrostu bezrobocia w niektórych sektorach i wpłynęły na zmianę struktury zatrudnienia. </w:t>
            </w:r>
          </w:p>
          <w:p w14:paraId="03900FC8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Zmniejszyło się też zapotrzebowanie na pracowników branż, dotąd atrakcyjnych dla  osób młodych, takich jak: gastronomia, turystyka, branża eventowa. </w:t>
            </w:r>
            <w:r w:rsidRPr="0062307A">
              <w:rPr>
                <w:rFonts w:ascii="Arial" w:eastAsia="Arial" w:hAnsi="Arial" w:cs="Arial"/>
                <w:b/>
                <w:sz w:val="20"/>
                <w:szCs w:val="20"/>
              </w:rPr>
              <w:t xml:space="preserve">Jednocześnie w wyniku postępującej cyfryzacji firm, będącej odpowiedzią na zmianę zachowań konsumenckich [w sieci pojawiło się w trakcie pandemii ponad 3.6 mln nowych użytkowników usług cyfrowych (źródło:   </w:t>
            </w:r>
            <w:hyperlink r:id="rId8">
              <w:r w:rsidRPr="0062307A">
                <w:rPr>
                  <w:rFonts w:ascii="Arial" w:eastAsia="Arial" w:hAnsi="Arial" w:cs="Arial"/>
                  <w:b/>
                  <w:sz w:val="20"/>
                  <w:szCs w:val="20"/>
                </w:rPr>
                <w:t>McK, Digital Challengers in the next normal</w:t>
              </w:r>
            </w:hyperlink>
            <w:r w:rsidRPr="0062307A">
              <w:rPr>
                <w:rFonts w:ascii="Arial" w:eastAsia="Arial" w:hAnsi="Arial" w:cs="Arial"/>
                <w:b/>
                <w:sz w:val="20"/>
                <w:szCs w:val="20"/>
              </w:rPr>
              <w:t>)], znacząco wzrósł popyt na pracowników, którzy byliby w stanie pomóc w transformacji cyfrowej.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8BA0DD3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82% firm zwiększyło wykorzystanie narzędzi cyfrowych w trakcie pandemii (źródło: </w:t>
            </w:r>
            <w:hyperlink r:id="rId9">
              <w:r>
                <w:rPr>
                  <w:rFonts w:ascii="Arial" w:eastAsia="Arial" w:hAnsi="Arial" w:cs="Arial"/>
                  <w:sz w:val="20"/>
                  <w:szCs w:val="20"/>
                </w:rPr>
                <w:t>Raport Connected Council Commerce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), jednak brakuje im kompetencji i wiedzy, które mogliby wykorzystać. </w:t>
            </w:r>
            <w:r w:rsidRPr="00BF2AC4">
              <w:rPr>
                <w:rFonts w:ascii="Arial" w:eastAsia="Arial" w:hAnsi="Arial" w:cs="Arial"/>
                <w:b/>
                <w:sz w:val="20"/>
                <w:szCs w:val="20"/>
              </w:rPr>
              <w:t>Jednocześnie 44% firm ankietowanych w ramach programu Polskiego Funduszu Rozwoju pn. Kariera Jutra, przyznało, że rozważa zatrudnienie osoby do pomocy w obszarze marketingu internetowego (źródło: Firmy Jutra Program Google i PFR, badanie wewnętrzne).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4B12AE6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C78BD4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Zmiana sytuacji społeczno-gospodarczej wywołana pandemią mocno dotyka osoby młode. J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>ak ocenia Eurostat najbardziej wzrósł pozio</w:t>
            </w:r>
            <w:r>
              <w:rPr>
                <w:rFonts w:ascii="Arial" w:eastAsia="Arial" w:hAnsi="Arial" w:cs="Arial"/>
                <w:sz w:val="20"/>
                <w:szCs w:val="20"/>
              </w:rPr>
              <w:t>m bierności wśród osób młodych, tj. 25-29 latków. W 2020r. (rok wybuchu pandemii)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 xml:space="preserve"> niemal co piąta osoba z tej grupy nie pracowała, nie uczyła się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 xml:space="preserve"> ani nie szkoliła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a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ponad 40 tysięcy młodych utraciło pracę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 xml:space="preserve"> (18,6 proc. – o 1,4 pkt proc. więcej niż rok wcześniej)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>źródło: Eurostat.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>Ponadto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 xml:space="preserve"> według badania firmy doradczej PwC, 49% studentów i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 xml:space="preserve">absolwentów w Polsce jest zdania, że przez pandemię ma mniejsze możliwości na rynku pracy (źródło: </w:t>
            </w:r>
            <w:hyperlink r:id="rId10">
              <w:r w:rsidRPr="0060174F">
                <w:rPr>
                  <w:rFonts w:ascii="Arial" w:eastAsia="Arial" w:hAnsi="Arial" w:cs="Arial"/>
                  <w:sz w:val="20"/>
                  <w:szCs w:val="20"/>
                </w:rPr>
                <w:t>Badanie PwC</w:t>
              </w:r>
            </w:hyperlink>
            <w:r w:rsidRPr="0060174F"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Pandemia uwypukliła problem nikłych perspektyw zawodowych wśród </w:t>
            </w:r>
            <w:r>
              <w:rPr>
                <w:rFonts w:ascii="Arial" w:eastAsia="Arial" w:hAnsi="Arial" w:cs="Arial"/>
                <w:sz w:val="20"/>
                <w:szCs w:val="20"/>
              </w:rPr>
              <w:t>tej grupy. P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>rzyczyną takiego stanu rzeczy jest 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 xml:space="preserve">jednej strony strukturalne niedopasowanie kompetencyjne młodych </w:t>
            </w:r>
            <w:r>
              <w:rPr>
                <w:rFonts w:ascii="Arial" w:eastAsia="Arial" w:hAnsi="Arial" w:cs="Arial"/>
                <w:sz w:val="20"/>
                <w:szCs w:val="20"/>
              </w:rPr>
              <w:t>(brak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lastRenderedPageBreak/>
              <w:t>wymaganych kompetencji i doświadczenia do podjęcia perspektywicznej pracy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>do istniejących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coraz wyższych 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 xml:space="preserve">wymagań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na 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>rynku pracy (źródło: NBP, r</w:t>
            </w:r>
            <w:r>
              <w:rPr>
                <w:rFonts w:ascii="Arial" w:eastAsia="Arial" w:hAnsi="Arial" w:cs="Arial"/>
                <w:sz w:val="20"/>
                <w:szCs w:val="20"/>
              </w:rPr>
              <w:t>aport nt. inflacji, lipiec 2020</w:t>
            </w:r>
            <w:r w:rsidRPr="0060174F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młode osoby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często nie chcą pracować w tradycyjnych branżach.</w:t>
            </w:r>
          </w:p>
          <w:p w14:paraId="714C086C" w14:textId="77777777" w:rsidR="00ED2B1A" w:rsidRDefault="00ED2B1A" w:rsidP="007C309B">
            <w:pPr>
              <w:spacing w:after="0"/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>Praca poniżej kwalifikacji wśród absolwentów uczelni ma większy zasięg wśród osób młodych i</w:t>
            </w:r>
            <w:r w:rsidRPr="006770A2">
              <w:rPr>
                <w:rStyle w:val="markedcontent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6770A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obserwowana jest w szczególności wśród kobiet. 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Badania wskazują, iż taki stan rzeczy podyktowany jest najczęściej brakiem wystarczającego doświadczenia zawodowego wśród młodych absolwentów. Istnieje więc ciągła potrzeba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testowania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rozwiązań ułatwiających zdobywanie doświadczeń zawodowych jeszcze w trakcie uczestniczenia w edukacji formalnej, np. wśród studentów kierunków studiów, których absolwenci mają najmniejsze szanse na znalezienie pracy. Badania ujawniają obecność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części 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absolwentów szkół wyższych określanych mianem „ludzi z dyplomem, ale bez kwalifikacji”. Jednocześnie na doświadczenie zawodowe absolwentów jako czynnik zwiększający szanse na zatrudnienie zwracają szczególną uwagę przyszli pracodawcy. Problemem jest wciąż brak wystarczającej współpracy pomiędzy szkołami/uczelniami, a przedsiębiorcami np. w celu zapewnienia uczestnictwa uczniów w praktykach lub stażach zawodowych. </w:t>
            </w:r>
          </w:p>
          <w:p w14:paraId="0CEC1139" w14:textId="77777777" w:rsidR="00ED2B1A" w:rsidRPr="00542BD7" w:rsidRDefault="00ED2B1A" w:rsidP="007C309B">
            <w:pPr>
              <w:spacing w:after="0"/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575D6018" w14:textId="77777777" w:rsidR="00ED2B1A" w:rsidRDefault="00ED2B1A" w:rsidP="007C309B">
            <w:pPr>
              <w:spacing w:after="0"/>
              <w:jc w:val="both"/>
              <w:rPr>
                <w:rStyle w:val="markedcontent"/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Aktualnie n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a rynek pracy wchodzą osoby z tzw. pokolenia Z.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Trzeba zauważyć, że s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truktura gospodarki i zatrudnienia w </w:t>
            </w:r>
            <w:r w:rsidRPr="1C308EAE">
              <w:rPr>
                <w:rStyle w:val="markedcontent"/>
                <w:rFonts w:ascii="Arial" w:hAnsi="Arial" w:cs="Arial"/>
                <w:sz w:val="20"/>
                <w:szCs w:val="20"/>
              </w:rPr>
              <w:t>Polsce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dotychczas w pewnym stopniu bazowały na przekonaniu, że przewagą konkurencyjną jest tania siła robocza.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Wraz z wejściem na rynek pracy pokolenia Z to przekonanie będzie się zmieniać. 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Podejmowanie pracy przez pokolenie Z oraz utrzymanie tej pracy to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obecnie 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>skomplikow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ane i wieloaspektowe zagadnienie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>, które wymaga określonych reakcji i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 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testowania nowego podejścia do wspierania młodych osób na rynku pracy. </w:t>
            </w:r>
          </w:p>
          <w:p w14:paraId="343C4EE3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Osoby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z tzw. pokolenia Z, czyli urodzone </w:t>
            </w:r>
            <w:r>
              <w:rPr>
                <w:rFonts w:ascii="Arial" w:eastAsia="Arial" w:hAnsi="Arial" w:cs="Arial"/>
                <w:sz w:val="20"/>
                <w:szCs w:val="20"/>
              </w:rPr>
              <w:t>po 1995 roku doświadczają trudności z wejściem na rynek pracy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. Pokolenie Z kończyło edukację na poziomie średnim w warunkach pełnej dostępności edukacji na poziomie wyższym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 pełnej mobilności, gdzie rynki pracy w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państwac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Unii Europejskiej są̨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 pełni otwarte i można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bez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większego problemu podjąć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pracę poza granicami Polski. </w:t>
            </w:r>
          </w:p>
          <w:p w14:paraId="08AB2FF6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Reprezentanci tego pokolenia, dorastający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dużej części)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wśród najnowszych technologii, żyją w świecie wirtualnym. To młodzi dorastający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 zupełnie innym warunkach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niż ich poprzednicy – świecie nowych technologii. Nazywani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ą również̇ pokoleniem multitasking – nie mają trudności z wi</w:t>
            </w:r>
            <w:r>
              <w:rPr>
                <w:rFonts w:ascii="Arial" w:eastAsia="Arial" w:hAnsi="Arial" w:cs="Arial"/>
                <w:sz w:val="20"/>
                <w:szCs w:val="20"/>
              </w:rPr>
              <w:t>elozadaniowością̨</w:t>
            </w:r>
            <w:r w:rsidRPr="3251AE8D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lecz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nie przywiązują̨ się do miejsca pracy, nie obawiają się pracy na odległość́, a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otwartość́ na świat sprawia, że to co przez wielu reprezentantów pop</w:t>
            </w:r>
            <w:r>
              <w:rPr>
                <w:rFonts w:ascii="Arial" w:eastAsia="Arial" w:hAnsi="Arial" w:cs="Arial"/>
                <w:sz w:val="20"/>
                <w:szCs w:val="20"/>
              </w:rPr>
              <w:t>rzednich pokoleń odbierane było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jako zagrożenie, dla nich jest ciekawe i fascynujące. Są otwarci na różnorodność oraz nowe doświadczenia, nie obawiają̨ się podejmowania ryzyka, są w stanie błyskawicznie podejmować decyzje, co powoduje, że są  znacznie mniej stabilnymi pracownikami niż np. osoby 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pokolenia Y. </w:t>
            </w:r>
          </w:p>
          <w:p w14:paraId="2A5BAD83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Wszystko to </w:t>
            </w:r>
            <w:r>
              <w:rPr>
                <w:rFonts w:ascii="Arial" w:eastAsia="Arial" w:hAnsi="Arial" w:cs="Arial"/>
                <w:sz w:val="20"/>
                <w:szCs w:val="20"/>
              </w:rPr>
              <w:t>sprawia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, że mają znacznie większą łatwość w przebranżowieniu się i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rozwijaniu nowych kompetencji oraz ciągłym szukaniu szans na rozwój. W życiu zawodowym kierują się tymi samymi zasadami jakie przyśw</w:t>
            </w:r>
            <w:r>
              <w:rPr>
                <w:rFonts w:ascii="Arial" w:eastAsia="Arial" w:hAnsi="Arial" w:cs="Arial"/>
                <w:sz w:val="20"/>
                <w:szCs w:val="20"/>
              </w:rPr>
              <w:t>iecają̨ im w życiu prywatnym. O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d pracodawców oczekują przede wszystkim wykorzystania ich potencjału, możliwości rozwoju, godziwego wynagrodzenia oraz motywatorów pozafinansowych. </w:t>
            </w:r>
          </w:p>
          <w:p w14:paraId="1A1C3676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Jednocześnie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48,7% młodych ocenia, że w związku z pandemią ich możliwości na rynku pracy uległy pogorszeniu. [Źródło: https://www.pwc.pl/pl/publikacje/raport-pwc-mlodzi-na-rynku-pracy-2021.pdf]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762055D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Młodzi ludzie wkraczający na rynek pracy zmagają̨ się aktualnie z wieloma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lastRenderedPageBreak/>
              <w:t>utrudnieniami, mierzą się z licznymi wyzwaniami. Wielu z nich zastanawia się nad swoją przyszłością̨, nie wiedząc jeszcze, jak do końca ma wyglądać́ ich ścieżka kariery. Rozwój zawodowy ma dla nich ogromne znaczenie i znaczna większość́ 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nich porusza aspekt tego, że kariera nie jest tylko związana z pracą, ale również̇ z uczeniem się i dokształcaniem poprzez specjalistyczne studia, kursy czy szkoły podyplomowe. </w:t>
            </w:r>
          </w:p>
          <w:p w14:paraId="167498FB" w14:textId="77777777" w:rsidR="00ED2B1A" w:rsidRDefault="00ED2B1A" w:rsidP="007C309B">
            <w:pPr>
              <w:spacing w:after="0"/>
              <w:jc w:val="both"/>
              <w:rPr>
                <w:rStyle w:val="markedcontent"/>
                <w:rFonts w:ascii="Arial" w:hAnsi="Arial" w:cs="Arial"/>
                <w:color w:val="FF0000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Wejście pokolenia Z na rynek pracy jest także pełne oczekiwań. Znacznie częściej decydują się oni na zatrudnienie, które zapewni im równowagę między życiem zawodowym a prywatnym, pracę w dobrej atmosferze i zespole, który da im możliwości rozwoju. </w:t>
            </w:r>
            <w:r w:rsidRPr="00542BD7">
              <w:rPr>
                <w:rStyle w:val="markedcontent"/>
                <w:rFonts w:ascii="Arial" w:hAnsi="Arial" w:cs="Arial"/>
                <w:sz w:val="20"/>
                <w:szCs w:val="20"/>
              </w:rPr>
              <w:t>Dla najmłodszego pokolenia (pokolenia Z) „praca nie może wymagać rezygnacji z rzeczy niezbędnych w życiu prywatnym” – jak czytamy w badaniu firmy Deloitte „Pierwsze kroki na rynku pracy, 2018”.</w:t>
            </w:r>
            <w:r w:rsidRPr="00B53B02">
              <w:rPr>
                <w:rStyle w:val="markedcontent"/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  <w:p w14:paraId="121D80A5" w14:textId="77777777" w:rsidR="00ED2B1A" w:rsidRPr="00CD02D5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Prawie dwie trzecie (64%) młodych chciałoby mieć umowę o pracę w pełnym wymiarze czasu pracy z jednym pracodawcą. Przy wyborze pracodawcy najważniejszą kwestią jest to, czy oferuje on plany rozwoju kariery, a nawet daje możliwość rozwijania swoich umiejętności i doświadczenia (na pierwszym miejscu wskazało tak 42% respondentów). </w:t>
            </w:r>
            <w:r w:rsidRPr="008D1F3E">
              <w:rPr>
                <w:rFonts w:ascii="Arial" w:eastAsia="Arial" w:hAnsi="Arial" w:cs="Arial"/>
                <w:sz w:val="20"/>
                <w:szCs w:val="20"/>
                <w:lang w:val="en-GB"/>
              </w:rPr>
              <w:t>[</w:t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Ź</w:t>
            </w:r>
            <w:r w:rsidRPr="008D1F3E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ródło: First Steps into the Labour Market, Raport Deloitte </w:t>
            </w:r>
            <w:hyperlink r:id="rId11" w:history="1">
              <w:r w:rsidRPr="009756F5">
                <w:rPr>
                  <w:rStyle w:val="Hipercze"/>
                  <w:rFonts w:ascii="Arial" w:eastAsia="Arial" w:hAnsi="Arial" w:cs="Arial"/>
                  <w:sz w:val="20"/>
                  <w:szCs w:val="20"/>
                  <w:lang w:val="en-GB"/>
                </w:rPr>
                <w:t>https://www2.deloitte.com/pl/pl/pages/human-capital/articles/Raport-Pierwsze-kroki-na-rynku-pracy-2021.html</w:t>
              </w:r>
            </w:hyperlink>
            <w:r w:rsidRPr="00CD02D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0DCFAE8" w14:textId="77777777" w:rsidR="00ED2B1A" w:rsidRPr="006770A2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Większe problemy ze znalezieniem perspektywicznej pracy mają młodzi mieszkający w małych miastach i na wsiach (</w:t>
            </w:r>
            <w:hyperlink r:id="rId12">
              <w:r w:rsidRPr="00F83F25">
                <w:rPr>
                  <w:rFonts w:ascii="Arial" w:eastAsia="Arial" w:hAnsi="Arial" w:cs="Arial"/>
                  <w:sz w:val="20"/>
                  <w:szCs w:val="20"/>
                </w:rPr>
                <w:t>źródło: Raport Ministerstwa Rodziny, Pracy i Polityki Społecznej</w:t>
              </w:r>
            </w:hyperlink>
            <w:r w:rsidRPr="00463EEA">
              <w:rPr>
                <w:rFonts w:ascii="Arial" w:eastAsia="Arial" w:hAnsi="Arial" w:cs="Arial"/>
                <w:sz w:val="20"/>
                <w:szCs w:val="20"/>
              </w:rPr>
              <w:t>). D</w:t>
            </w:r>
            <w:r w:rsidRPr="00706882">
              <w:rPr>
                <w:rStyle w:val="markedcontent"/>
                <w:rFonts w:ascii="Arial" w:hAnsi="Arial" w:cs="Arial"/>
                <w:sz w:val="20"/>
                <w:szCs w:val="20"/>
              </w:rPr>
              <w:t>ostępność ścieżek edukacyjnych rośnie wraz z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 </w:t>
            </w:r>
            <w:r w:rsidRPr="0070688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wielkością miejscowości, np. w większych miastach jest więcej czynników wpływających na możliwość ukończenia atrakcyjnych szkoleń, czy znal</w:t>
            </w:r>
            <w:r w:rsidRPr="006B2674">
              <w:rPr>
                <w:rStyle w:val="markedcontent"/>
                <w:rFonts w:ascii="Arial" w:hAnsi="Arial" w:cs="Arial"/>
                <w:sz w:val="20"/>
                <w:szCs w:val="20"/>
              </w:rPr>
              <w:t>ezienia dobrze płatnego miejsca pracy.</w:t>
            </w:r>
          </w:p>
          <w:p w14:paraId="08925C45" w14:textId="77777777" w:rsidR="00ED2B1A" w:rsidRPr="00542BD7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EA6934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81C47">
              <w:rPr>
                <w:rFonts w:ascii="Arial" w:eastAsia="Arial" w:hAnsi="Arial" w:cs="Arial"/>
                <w:b/>
                <w:sz w:val="20"/>
                <w:szCs w:val="20"/>
              </w:rPr>
              <w:t xml:space="preserve">Potrzeba </w:t>
            </w:r>
          </w:p>
          <w:p w14:paraId="48D2DB30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Młodzi chcieliby mieć bardziej perspektywiczne, lepiej płatne prace, lecz brakuje im kompetencji i doświadczenia w branży. Jednocześnie pracodawcy z sektora MŚP narzekają na brak wykwalifikowanych pracowników i nie są gotowi zatrudniać osób z małą wiedzą czy doświadczeniem. </w:t>
            </w:r>
          </w:p>
          <w:p w14:paraId="5C2F9E79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1582E">
              <w:rPr>
                <w:rFonts w:ascii="Arial" w:eastAsia="Arial" w:hAnsi="Arial" w:cs="Arial"/>
                <w:b/>
                <w:sz w:val="20"/>
                <w:szCs w:val="20"/>
              </w:rPr>
              <w:t>Obecnie obserwujemy sytuację, w której z jednej strony istnieje paląca potrzeba firm, aby zwiększać swoją obecność w internecie i dokonywać transformacji cyfrowej, z drugiej zaś mamy młodych chętnych do perspektywicznej pracy, jednak bez niezbędnej wiedzy i doświadczenia, w wyniku czego często pozostają nieaktywni zawodowo, ponieważ nie chcą pracować fizycznie lub w branżach nie dających szans na rozwój i wzrost zarobków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Znaczny procent osób nie mogących odnaleźć się na rynku pracy, który obecnie wkracza w czwartą rewolucję przemysłową,  uważa, że głównym powodem ich sytuacji zawodowej jest brak zdolności i potencjału do nabycia nowych kompetencji. </w:t>
            </w:r>
          </w:p>
          <w:p w14:paraId="29DF6039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7B437E" w14:textId="77777777" w:rsidR="00ED2B1A" w:rsidRPr="00581C47" w:rsidRDefault="00ED2B1A" w:rsidP="007C309B">
            <w:pPr>
              <w:spacing w:before="120" w:after="120" w:line="240" w:lineRule="auto"/>
              <w:jc w:val="both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 w:rsidRPr="00581C47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 xml:space="preserve">Rozwiązanie </w:t>
            </w:r>
          </w:p>
          <w:p w14:paraId="08D94258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Widząc rosnącą potrzebę zarówno osób młodych jak i firm, w oparciu o  przeprowadzone z nimi wywiady oraz zgromadzone dane, powstał pomysł innowacyjnego projektu pn. Kariera Jutra, w ramach którego NASK w partnerstwie edukacyjnym</w:t>
            </w:r>
            <w:r w:rsidR="00326D47">
              <w:rPr>
                <w:rFonts w:ascii="Arial" w:eastAsia="Arial" w:hAnsi="Arial" w:cs="Arial"/>
                <w:sz w:val="20"/>
                <w:szCs w:val="20"/>
              </w:rPr>
              <w:t xml:space="preserve"> (nieformalnym)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 firmą Google Polska i Szkołą Główną Handlową w Warszawie, w  którym: </w:t>
            </w:r>
          </w:p>
          <w:p w14:paraId="11D2F054" w14:textId="77777777" w:rsidR="00797A53" w:rsidRDefault="00ED2B1A" w:rsidP="007C309B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Google Polska i SGH </w:t>
            </w:r>
            <w:r w:rsidR="00797A53">
              <w:rPr>
                <w:rFonts w:ascii="Arial" w:eastAsia="Arial" w:hAnsi="Arial" w:cs="Arial"/>
                <w:color w:val="000000"/>
                <w:sz w:val="20"/>
                <w:szCs w:val="20"/>
              </w:rPr>
              <w:t>oraz ewentualnie</w:t>
            </w:r>
            <w:r w:rsidR="0015318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inni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partnerzy </w:t>
            </w:r>
          </w:p>
          <w:p w14:paraId="645A8F7E" w14:textId="77777777" w:rsidR="00ED2B1A" w:rsidRDefault="00ED2B1A" w:rsidP="007C309B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edukacyjni przygotują kompleksowy program szkoleniowy, który pozwoli jego uczestnikom rozpocząć ścieżkę zawodową w obszarze transformacji cyfrowej;</w:t>
            </w:r>
          </w:p>
          <w:p w14:paraId="013FD1D5" w14:textId="77777777" w:rsidR="00ED2B1A" w:rsidRDefault="00ED2B1A" w:rsidP="007C309B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zostanie zapewniona kadra dla nowych miejsc w obszarze transformacji cyfrowej w firmach, które tego najbardziej potrzebują i zostaną zapewnione 3-miesięczne staże dla najlepszych absolwentów kursu.</w:t>
            </w:r>
          </w:p>
          <w:p w14:paraId="086191ED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Projekt będzie szansą do przetestowania nowatorskiej formuły realizacji międzysektorowego przedsięwzięcia, w którym zostanie połączony potencjał  podmiotu publicznego – agencji rządowej NASK, giganta branży IT - Google oraz renomowanej uczelni – Szkoły Głównej Handlowej. Partnerstwo z Google i  wykorzystanie potencjału kadrowego firmy, know-how dotyczących najnowszych technologii oraz finansowanie przez firmę atrakcyjnych szkoleń w nowoczesnej formule wsparte przez jedną z najlepszych polskich uczelni ekonomicznych SGH oraz umożliwienie przez NASK (będący synonimem transformacji cyfrowej) we współpracy z MŚP praktycznej weryfikacji swoich doświadczeń na rynku spowoduje</w:t>
            </w:r>
            <w:r w:rsidRPr="1CEA6F66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że </w:t>
            </w:r>
            <w:r w:rsidRPr="00C1582E">
              <w:rPr>
                <w:rFonts w:ascii="Arial" w:eastAsia="Arial" w:hAnsi="Arial" w:cs="Arial"/>
                <w:b/>
                <w:sz w:val="20"/>
                <w:szCs w:val="20"/>
              </w:rPr>
              <w:t>młodzi ludzie poza konkretnymi umiejętnościami, nabędą przekonanie o możliwości realizacji własnej ścieżki zawodowej zgodnej z ich systemem wartości.</w:t>
            </w:r>
          </w:p>
          <w:p w14:paraId="2227F7C2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589777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Projekt będzie realizowany z poszanowaniem neutralności technologicznej. Do współpracy w ramach szkoleniowej części projektu</w:t>
            </w:r>
            <w:r w:rsidR="00326D47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666F61">
              <w:rPr>
                <w:rFonts w:ascii="Arial" w:eastAsia="Arial" w:hAnsi="Arial" w:cs="Arial"/>
                <w:sz w:val="20"/>
                <w:szCs w:val="20"/>
              </w:rPr>
              <w:t xml:space="preserve">już od I </w:t>
            </w:r>
            <w:r w:rsidR="00326D47">
              <w:rPr>
                <w:rFonts w:ascii="Arial" w:eastAsia="Arial" w:hAnsi="Arial" w:cs="Arial"/>
                <w:sz w:val="20"/>
                <w:szCs w:val="20"/>
              </w:rPr>
              <w:t>faz</w:t>
            </w:r>
            <w:r w:rsidR="00666F61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326D47"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zostaną zaproszeni również inni partnerzy technologiczni oferujący rozwiązania z zakresu transformacji cyfrowej, w tym m.in. marketingu </w:t>
            </w:r>
            <w:r w:rsidDel="00ED70F9">
              <w:rPr>
                <w:rFonts w:ascii="Arial" w:eastAsia="Arial" w:hAnsi="Arial" w:cs="Arial"/>
                <w:sz w:val="20"/>
                <w:szCs w:val="20"/>
              </w:rPr>
              <w:t>internetowego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BB7AB73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393CB5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 szkoleniow</w:t>
            </w:r>
            <w:r w:rsidR="00DE5468"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oferowan</w:t>
            </w:r>
            <w:r w:rsidR="00DE5468"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przez głównego</w:t>
            </w:r>
            <w:r w:rsidRPr="26268EA7">
              <w:rPr>
                <w:rFonts w:ascii="Arial" w:eastAsia="Arial" w:hAnsi="Arial" w:cs="Arial"/>
                <w:sz w:val="20"/>
                <w:szCs w:val="20"/>
              </w:rPr>
              <w:t xml:space="preserve"> Partnera Edukacyjnego – Google Polska </w:t>
            </w:r>
            <w:r>
              <w:rPr>
                <w:rFonts w:ascii="Arial" w:eastAsia="Arial" w:hAnsi="Arial" w:cs="Arial"/>
                <w:sz w:val="20"/>
                <w:szCs w:val="20"/>
              </w:rPr>
              <w:t>a także ewentualnie przez innych partnerów technologicznych zostan</w:t>
            </w:r>
            <w:r w:rsidR="00DE5468">
              <w:rPr>
                <w:rFonts w:ascii="Arial" w:eastAsia="Arial" w:hAnsi="Arial" w:cs="Arial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opracowan</w:t>
            </w:r>
            <w:r w:rsidR="00DE5468"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 sposób </w:t>
            </w:r>
            <w:r w:rsidRPr="26268EA7">
              <w:rPr>
                <w:rFonts w:ascii="Arial" w:eastAsia="Arial" w:hAnsi="Arial" w:cs="Arial"/>
                <w:sz w:val="20"/>
                <w:szCs w:val="20"/>
              </w:rPr>
              <w:t>zapewni</w:t>
            </w:r>
            <w:r>
              <w:rPr>
                <w:rFonts w:ascii="Arial" w:eastAsia="Arial" w:hAnsi="Arial" w:cs="Arial"/>
                <w:sz w:val="20"/>
                <w:szCs w:val="20"/>
              </w:rPr>
              <w:t>ający</w:t>
            </w:r>
            <w:r w:rsidRPr="26268EA7">
              <w:rPr>
                <w:rFonts w:ascii="Arial" w:eastAsia="Arial" w:hAnsi="Arial" w:cs="Arial"/>
                <w:sz w:val="20"/>
                <w:szCs w:val="20"/>
              </w:rPr>
              <w:t xml:space="preserve"> równorzędny dostęp do szkoleń dla osób z niepełnosprawnościami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 w:rsidRPr="00BB2D72">
              <w:rPr>
                <w:rFonts w:ascii="Arial" w:eastAsia="Arial" w:hAnsi="Arial" w:cs="Arial"/>
                <w:sz w:val="20"/>
                <w:szCs w:val="20"/>
              </w:rPr>
              <w:t>m.i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n. poprzez dostosowanie treści </w:t>
            </w:r>
            <w:r w:rsidRPr="00BB2D72"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teriałów szkoleniowych </w:t>
            </w:r>
            <w:r w:rsidRPr="00BB2D72">
              <w:rPr>
                <w:rFonts w:ascii="Arial" w:eastAsia="Arial" w:hAnsi="Arial" w:cs="Arial"/>
                <w:sz w:val="20"/>
                <w:szCs w:val="20"/>
              </w:rPr>
              <w:t>do potrzeb osób z niepełnosprawnością wzrokową lub słuchową, zastoso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wanie standardów WCAG na stronach internetowych dla uczestników projektu </w:t>
            </w:r>
            <w:r w:rsidRPr="00BB2D72">
              <w:rPr>
                <w:rFonts w:ascii="Arial" w:eastAsia="Arial" w:hAnsi="Arial" w:cs="Arial"/>
                <w:sz w:val="20"/>
                <w:szCs w:val="20"/>
              </w:rPr>
              <w:t>itp.</w:t>
            </w:r>
            <w:r w:rsidRPr="26268E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97A53">
              <w:rPr>
                <w:rFonts w:ascii="Arial" w:eastAsia="Arial" w:hAnsi="Arial" w:cs="Arial"/>
                <w:sz w:val="20"/>
                <w:szCs w:val="20"/>
              </w:rPr>
              <w:t xml:space="preserve">W ramach projektu zostanie opracowany </w:t>
            </w:r>
            <w:r w:rsidR="00797A53" w:rsidRPr="00797A53">
              <w:rPr>
                <w:rFonts w:ascii="Arial" w:eastAsia="Arial" w:hAnsi="Arial" w:cs="Arial"/>
                <w:sz w:val="20"/>
                <w:szCs w:val="20"/>
              </w:rPr>
              <w:t>program szkolenia, z</w:t>
            </w:r>
            <w:r w:rsidR="00C2429E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="00797A53" w:rsidRPr="00797A53">
              <w:rPr>
                <w:rFonts w:ascii="Arial" w:eastAsia="Arial" w:hAnsi="Arial" w:cs="Arial"/>
                <w:sz w:val="20"/>
                <w:szCs w:val="20"/>
              </w:rPr>
              <w:t>ewentualnie wyodrębnionymi ścieżkami edukacyjnymi dla innych niż Google partnerów edukacyjnych.</w:t>
            </w:r>
          </w:p>
          <w:p w14:paraId="0EDAD51B" w14:textId="77777777" w:rsidR="00ED2B1A" w:rsidRDefault="00ED2B1A" w:rsidP="007C309B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2E2F1E" w14:textId="77777777" w:rsidR="00ED2B1A" w:rsidRDefault="00ED2B1A" w:rsidP="007C309B">
            <w:pPr>
              <w:spacing w:before="12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Projekt p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>ozwoli przetestować rozwiązanie, które dotychczas nie było stosowane i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 xml:space="preserve"> nie było przedmiotem interwencji publicznej. Nadrzędnym celem projektu</w:t>
            </w:r>
            <w:r>
              <w:rPr>
                <w:rFonts w:ascii="Arial" w:eastAsia="Arial" w:hAnsi="Arial" w:cs="Arial"/>
                <w:sz w:val="20"/>
                <w:szCs w:val="20"/>
              </w:rPr>
              <w:t>, a  jednocześnie tematem innowacji społecznej,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 xml:space="preserve"> jest poprawa sytuacji zawodowej osób młodych borykając</w:t>
            </w:r>
            <w:r>
              <w:rPr>
                <w:rFonts w:ascii="Arial" w:eastAsia="Arial" w:hAnsi="Arial" w:cs="Arial"/>
                <w:sz w:val="20"/>
                <w:szCs w:val="20"/>
              </w:rPr>
              <w:t>yc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>h się z trudnościami na r</w:t>
            </w:r>
            <w:r>
              <w:rPr>
                <w:rFonts w:ascii="Arial" w:eastAsia="Arial" w:hAnsi="Arial" w:cs="Arial"/>
                <w:sz w:val="20"/>
                <w:szCs w:val="20"/>
              </w:rPr>
              <w:t>ynku pracy poprzez umożliwienie im zdobywania kompetencji i doświadczenia w obszarze kompetencji cyfrowych i transformacji cyfrowej firm.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 xml:space="preserve"> Cel zostanie zrealizowany poprzez </w:t>
            </w:r>
            <w:r w:rsidR="00F65AE2">
              <w:rPr>
                <w:rFonts w:ascii="Arial" w:eastAsia="Arial" w:hAnsi="Arial" w:cs="Arial"/>
                <w:sz w:val="20"/>
                <w:szCs w:val="20"/>
              </w:rPr>
              <w:t xml:space="preserve">nieformalne 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>partnerstw</w:t>
            </w:r>
            <w:r w:rsidR="00F65AE2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>, w którym każda ze stron wnosi potencjał i zasoby adekwatne do potrzeb osób młodych</w:t>
            </w:r>
            <w:r>
              <w:rPr>
                <w:rFonts w:ascii="Arial" w:eastAsia="Arial" w:hAnsi="Arial" w:cs="Arial"/>
                <w:sz w:val="20"/>
                <w:szCs w:val="20"/>
              </w:rPr>
              <w:t>, uwzględniające mocne strony każdego z partnerów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Innowacje społeczne powinny szukać rozwiązań na pograniczu i styku różnych obszarów. W tym przypadku przedsięwzięcie pozwoli na przetestowanie modelowego sposobu współdziałania trzech sektorów: biznesu, administracji i  edukacji. Projekt umożliwi, z jednej strony przetestowanie rozwiązania w  obszarze rynku pracy, ale z drugiej strony pozwoli odpowiedzieć na wyzwania w zakresie kształcenia i nowatorskich sposobów docierania do osób młodych. Testowane rozwiązanie uwzględni charakter oraz wartości „pokolenia Z”, które przygotowuje się do wejścia na rynek pracy i będzie stanowić pomost pomiędzy wymaganiami osób młodych i ich przyszłymi pracodawcami. </w:t>
            </w:r>
          </w:p>
          <w:p w14:paraId="12D28897" w14:textId="77777777" w:rsidR="00ED2B1A" w:rsidRDefault="00ED2B1A" w:rsidP="007C309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D2F22">
              <w:rPr>
                <w:rFonts w:ascii="Arial" w:eastAsia="Arial" w:hAnsi="Arial" w:cs="Arial"/>
                <w:sz w:val="20"/>
                <w:szCs w:val="20"/>
              </w:rPr>
              <w:t xml:space="preserve">Projekt będzie się wpisywał również w realizację idei uczenia się przez całe życie.  Przy uwzględnieniu kształcenia pozaformalnego i wykorzystaniu do tego nowoczesnych metod IT chcemy za pomocą projektu - realizacji innowacyjnego połączenia potencjału NASK (Naukowa i Akademicka Sieć Komputerowa) oraz </w:t>
            </w:r>
            <w:r w:rsidRPr="004D2F2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Google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i innych ewentualnych partnerów technologicznych</w:t>
            </w:r>
            <w:r w:rsidR="00F65AE2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(nieformalnych)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, a także </w:t>
            </w:r>
            <w:r w:rsidRPr="004D2F22">
              <w:rPr>
                <w:rFonts w:ascii="Arial" w:eastAsia="Arial" w:hAnsi="Arial" w:cs="Arial"/>
                <w:sz w:val="20"/>
                <w:szCs w:val="20"/>
              </w:rPr>
              <w:t xml:space="preserve"> Szkoły Głównej Handlowej (SGH) pomóc młodemu pokoleniu w dostosowaniu umiejętności ICT, pokazaniu im nowych ścieżek rozwoju osobistego i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4D2F22">
              <w:rPr>
                <w:rFonts w:ascii="Arial" w:eastAsia="Arial" w:hAnsi="Arial" w:cs="Arial"/>
                <w:sz w:val="20"/>
                <w:szCs w:val="20"/>
              </w:rPr>
              <w:t xml:space="preserve"> zawodowego, (które do tej pory były trudne do wyobrażania, a wiedza na ich temat była znikoma) dzięki możliwości zdobycia kompetencji ICT (za które będzie odpowiedzialny i sfinansuje je z własnych funduszy Google), oraz doświadczenia zawodowego w nowoczesnych firmach (odpowiedzialny NASK), które widzą potrzebę bezpośredniego wdrożenia narzędzi cyfrowych i dalszego rozwoju firmy w oparciu o technologie cyfrowe.   </w:t>
            </w:r>
          </w:p>
          <w:p w14:paraId="31CEB18B" w14:textId="77777777" w:rsidR="00ED2B1A" w:rsidRPr="004D2F22" w:rsidRDefault="00ED2B1A" w:rsidP="007C309B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6268EA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Innowacyjność projektu będzie polegała również na tym, że zdecydowana większość działań prowadzona będzie w formie zdalnej. Szkolenia zrealizowane zostaną w całości online, w formie zdalnych lekcji i webinarów,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Staże będą oferowane uczestnikom przede wszystkim w formie zdalnej </w:t>
            </w:r>
            <w:r w:rsidRPr="00E2239D">
              <w:rPr>
                <w:rStyle w:val="markedcontent"/>
                <w:rFonts w:ascii="Arial" w:hAnsi="Arial" w:cs="Arial"/>
                <w:sz w:val="20"/>
                <w:szCs w:val="20"/>
              </w:rPr>
              <w:t>lub hybrydow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ej</w:t>
            </w:r>
            <w:r w:rsidRPr="00E2239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 </w:t>
            </w:r>
            <w:r w:rsidRPr="00E2239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zależności od możliwości organizacyjnych firmy i stażysty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. Firmy oferujące staż zdalny lub hybrydowy będą miały preferencje w realizacji staży. </w:t>
            </w:r>
            <w:r w:rsidRPr="26268EA7">
              <w:rPr>
                <w:rStyle w:val="markedcontent"/>
                <w:rFonts w:ascii="Arial" w:hAnsi="Arial" w:cs="Arial"/>
                <w:sz w:val="20"/>
                <w:szCs w:val="20"/>
              </w:rPr>
              <w:t>W ten sposób wyjdziemy naprzeciw oczekiwaniom młodych osób z pokolenia Z, które często, zwłaszcza w obliczu przemian na rynku pracy spowodowanych pandemią Covid-19, wręcz oczekują zdalnej formy zatrudnienia; zapewnimy równy dostęp osobom z mniejszych ośrodków (w takim układzie lokalizacja czy odległość nie odgrywa żadnej roli) oraz zachęcimy MŚP do szerszego uwzględnienia takiej formy zatrudnienia jako równorzędnej lub nawet preferowanej. Da to im w przyszłości szerszy dostęp do wykwalifikowanej kadry oraz podniesie ich atrakcyjność jako pracodawcy. Z drugiej strony osoby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z</w:t>
            </w:r>
            <w:r w:rsidRPr="26268EA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niepełnosprawnościami a także osoby </w:t>
            </w:r>
            <w:r w:rsidRPr="26268EA7">
              <w:rPr>
                <w:rStyle w:val="markedcontent"/>
                <w:rFonts w:ascii="Arial" w:hAnsi="Arial" w:cs="Arial"/>
                <w:sz w:val="20"/>
                <w:szCs w:val="20"/>
              </w:rPr>
              <w:t>z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 </w:t>
            </w:r>
            <w:r w:rsidRPr="26268EA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terenów wiejskich, małych miast lub średnich tracących funkcje społeczno-gospodarcze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zwiększą szanse na  zdobycie zatrudnienia</w:t>
            </w:r>
            <w:r w:rsidRPr="26268EA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17DED2C" w14:textId="77777777" w:rsidR="00ED2B1A" w:rsidRDefault="00ED2B1A" w:rsidP="007C309B">
            <w:pPr>
              <w:widowControl w:val="0"/>
              <w:spacing w:before="12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Realizacja projektu będzie również elementem </w:t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dostosowania się do zaleceń </w:t>
            </w:r>
            <w:r w:rsidRPr="00F83F25">
              <w:rPr>
                <w:rStyle w:val="markedcontent"/>
                <w:rFonts w:ascii="Arial" w:hAnsi="Arial" w:cs="Arial"/>
                <w:sz w:val="20"/>
                <w:szCs w:val="20"/>
              </w:rPr>
              <w:t>Rezolucji Parlamentu Europejskiego z dnia 11 grudnia 2018 r. w sprawie edukacji w erze cyfrowej: wyzwania, szanse i wnioski dotyczące kształtowania polityki UE (2018/2090(INI)). Rezolucja przytacza, iż</w:t>
            </w:r>
            <w:r w:rsidRPr="00F83F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F2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mając na uwadze, że szacunkowo około połowa obecnych miejsc pracy na świecie – i 30 % w Unii Europejskiej – </w:t>
            </w:r>
            <w:r w:rsidRPr="00F83F25">
              <w:rPr>
                <w:rFonts w:ascii="Arial" w:hAnsi="Arial" w:cs="Arial"/>
                <w:sz w:val="20"/>
                <w:szCs w:val="20"/>
              </w:rPr>
              <w:br/>
            </w:r>
            <w:r w:rsidRPr="00F83F25">
              <w:rPr>
                <w:rStyle w:val="markedcontent"/>
                <w:rFonts w:ascii="Arial" w:hAnsi="Arial" w:cs="Arial"/>
                <w:sz w:val="20"/>
                <w:szCs w:val="20"/>
              </w:rPr>
              <w:t>zniknie w ciągu następnych 25 lat, a pojawią się nowe zawo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dy wymagające zaawansowanych </w:t>
            </w:r>
            <w:r w:rsidRPr="00F83F25">
              <w:rPr>
                <w:rStyle w:val="markedcontent"/>
                <w:rFonts w:ascii="Arial" w:hAnsi="Arial" w:cs="Arial"/>
                <w:sz w:val="20"/>
                <w:szCs w:val="20"/>
              </w:rPr>
              <w:t>umiejętności cyfrowych i mając na uwadze, że wraz z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 </w:t>
            </w:r>
            <w:r w:rsidRPr="00F83F2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przyspieszonym rozwojem technologii społeczeństwo cyfrowe i gospodarka cyfrowa są obecnie rzeczywistością, co oznacza, że umiejętności cyfrowe są niezbędne do pomyślnego przebiegu kariery zawodowej i osobistego rozwoju wszystkich obywateli podkreśla, że aby w pełni wykorzystać możliwości oferowane przez technologie informacyjno-komunikacyjne i media oraz by rozwijać umiejętności i kompetencje wymagane do sprostania potrzebom społeczeństwa i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 </w:t>
            </w:r>
            <w:r w:rsidRPr="00F83F2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rynku pracy w przyszłości, konieczna jest transformacja systemów kształcenia i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 </w:t>
            </w:r>
            <w:r w:rsidRPr="00F83F2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szkolenia na wszystkich poziomach.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D2B1A" w14:paraId="5A85664E" w14:textId="77777777" w:rsidTr="007C309B">
        <w:trPr>
          <w:trHeight w:val="572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2D7B3410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Cel szczegółowy PO WER, w ramach którego Projekt będzie realizowany </w:t>
            </w:r>
          </w:p>
        </w:tc>
        <w:tc>
          <w:tcPr>
            <w:tcW w:w="7551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891DF4" w14:textId="77777777" w:rsidR="00ED2B1A" w:rsidRDefault="00ED2B1A" w:rsidP="007C30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Działanie 4.1 Innowacje społeczne.</w:t>
            </w:r>
          </w:p>
          <w:p w14:paraId="294F192C" w14:textId="77777777" w:rsidR="00ED2B1A" w:rsidRDefault="00ED2B1A" w:rsidP="007C309B">
            <w:pPr>
              <w:spacing w:before="30" w:after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Zwiększenie wykorzystania innowacji społecznych na rzecz poprawy skuteczności wybranych aspektów polityk publicznych w obszarze oddziaływania EFS.</w:t>
            </w:r>
          </w:p>
        </w:tc>
      </w:tr>
      <w:tr w:rsidR="00ED2B1A" w14:paraId="58A6BDB8" w14:textId="77777777" w:rsidTr="007C309B">
        <w:trPr>
          <w:trHeight w:val="703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4AB29674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Priorytet inwestycyjny</w:t>
            </w:r>
          </w:p>
        </w:tc>
        <w:tc>
          <w:tcPr>
            <w:tcW w:w="7551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42AAFF" w14:textId="77777777" w:rsidR="00ED2B1A" w:rsidRDefault="00ED2B1A" w:rsidP="007C309B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8ii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Trwała integracja na rynku pracy ludzi młodych, w szczególności tych, którzy nie pracują, nie kształcą się ani nie szkolą, w tym ludzi młodych zagrożonych wykluczeniem społecznym i ludzi młodych wywodzących się ze środowisk marginalizowanych, także poprzez wdrażanie gwarancji dla młodzieży</w:t>
            </w:r>
          </w:p>
        </w:tc>
      </w:tr>
      <w:tr w:rsidR="00ED2B1A" w14:paraId="06D9DFD2" w14:textId="77777777" w:rsidTr="007C309B">
        <w:trPr>
          <w:trHeight w:val="636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0FC927D2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Typ/typy Projektów przewidziane do realizacji w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ramach Projektu</w:t>
            </w:r>
          </w:p>
        </w:tc>
        <w:tc>
          <w:tcPr>
            <w:tcW w:w="7551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094CF3" w14:textId="77777777" w:rsidR="00ED2B1A" w:rsidRDefault="00ED2B1A" w:rsidP="007C309B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Makro-innowacje - opracowanie (o ile będzie to konieczne), przetestowanie, upowszechnienie i włączenie do polityki i praktyki nowych rozwiązań.</w:t>
            </w:r>
          </w:p>
        </w:tc>
      </w:tr>
      <w:tr w:rsidR="00ED2B1A" w14:paraId="430ECB73" w14:textId="77777777" w:rsidTr="007C309B">
        <w:trPr>
          <w:trHeight w:val="636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6F6C3116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 główny Projektu</w:t>
            </w:r>
          </w:p>
        </w:tc>
        <w:tc>
          <w:tcPr>
            <w:tcW w:w="7551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A402DE" w14:textId="77777777" w:rsidR="00ED2B1A" w:rsidRDefault="00ED2B1A" w:rsidP="007C309B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Trwała integracja osób młodych na rynku pracy poprzez realizację działań o  charakterze aktywizacyjnym i rozwój kompetencji cyfrowych </w:t>
            </w:r>
          </w:p>
        </w:tc>
      </w:tr>
      <w:tr w:rsidR="00ED2B1A" w14:paraId="2883D979" w14:textId="77777777" w:rsidTr="007C309B">
        <w:trPr>
          <w:trHeight w:val="636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299FDB96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Główne zadania przewidziane do realizacji w projekcie ze wskazaniem grup docelowych</w:t>
            </w:r>
          </w:p>
        </w:tc>
        <w:tc>
          <w:tcPr>
            <w:tcW w:w="7551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B7D70A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Zadania przewidziane do realizacji w projekcie zostały zaplanowane 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uwzględnieniem:</w:t>
            </w:r>
          </w:p>
          <w:p w14:paraId="4BC19AC3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sytuacji na rynku pracy wynikającej z pandemii COVID-19 – m.in. zwiększenie bezrobocia wśród młodych ludzi, którzy dotychczas podejmowali pracę w sektorach najbardziej dotkniętych skutkami pandemii;</w:t>
            </w:r>
          </w:p>
          <w:p w14:paraId="5D5AF5B1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zmian w sektorze MŚP spowodowanych pandemią COVID-19 – m.in. wzrost znaczenia sprzedaży w internecie, przeniesienie się do pracy zdalnej, konieczność optymalizacji procesów ze względu na absencję lub braki w kadrach;</w:t>
            </w:r>
          </w:p>
          <w:p w14:paraId="059072C0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 xml:space="preserve">doświadczeń Partnera Edukacyjnego </w:t>
            </w:r>
            <w:r w:rsidR="00BD5E68">
              <w:rPr>
                <w:rFonts w:ascii="Arial" w:eastAsia="Arial" w:hAnsi="Arial" w:cs="Arial"/>
                <w:sz w:val="20"/>
                <w:szCs w:val="20"/>
              </w:rPr>
              <w:t xml:space="preserve">(Google)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z realizacją tożsamych programów w krajach Unii Europejskiej w ramach programu unijnego Youth Guarantee;</w:t>
            </w:r>
          </w:p>
          <w:p w14:paraId="118EF55D" w14:textId="77777777" w:rsidR="00ED2B1A" w:rsidRPr="00C1582E" w:rsidRDefault="00ED2B1A" w:rsidP="007C309B">
            <w:pPr>
              <w:spacing w:before="120"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1582E">
              <w:rPr>
                <w:rFonts w:ascii="Arial" w:eastAsia="Arial" w:hAnsi="Arial" w:cs="Arial"/>
                <w:b/>
                <w:sz w:val="20"/>
                <w:szCs w:val="20"/>
              </w:rPr>
              <w:t>Głównym założeniem Projektu jest poprawa perspektyw zawodowych młodych ludzi poprzez rozwój ich kompetencji cyfrowych oraz umożliwienie MŚP transformacji cyfrowej, w szczególności wykorzystania najnowocześniejszych narzędzi marketingowych, co pomoże im w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  <w:r w:rsidRPr="00C1582E">
              <w:rPr>
                <w:rFonts w:ascii="Arial" w:eastAsia="Arial" w:hAnsi="Arial" w:cs="Arial"/>
                <w:b/>
                <w:sz w:val="20"/>
                <w:szCs w:val="20"/>
              </w:rPr>
              <w:t xml:space="preserve"> odbudowie przychodów po kryzysie.</w:t>
            </w:r>
          </w:p>
          <w:p w14:paraId="34679A72" w14:textId="77777777" w:rsidR="00ED2B1A" w:rsidRPr="008D1F3E" w:rsidRDefault="00ED2B1A" w:rsidP="007C309B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B29EE">
              <w:rPr>
                <w:rFonts w:ascii="Arial" w:eastAsia="Arial" w:hAnsi="Arial" w:cs="Arial"/>
                <w:sz w:val="20"/>
                <w:szCs w:val="20"/>
              </w:rPr>
              <w:t>Dzięki temu, że szkolenia przeprowadzone będą całkowicie online</w:t>
            </w:r>
            <w:r>
              <w:rPr>
                <w:rFonts w:ascii="Arial" w:eastAsia="Arial" w:hAnsi="Arial" w:cs="Arial"/>
                <w:sz w:val="20"/>
                <w:szCs w:val="20"/>
              </w:rPr>
              <w:t>, p</w:t>
            </w:r>
            <w:r w:rsidRPr="00BB29EE">
              <w:rPr>
                <w:rFonts w:ascii="Arial" w:eastAsia="Arial" w:hAnsi="Arial" w:cs="Arial"/>
                <w:sz w:val="20"/>
                <w:szCs w:val="20"/>
              </w:rPr>
              <w:t>rojekt będzie miał zasięg ogólnokrajowy, będzie otwarty i dostępny dla wszystkich, niezależnie od miejsca zamieszkania, płci czy stopnia</w:t>
            </w:r>
            <w:r>
              <w:rPr>
                <w:rFonts w:ascii="Arial" w:eastAsia="Arial" w:hAnsi="Arial" w:cs="Arial"/>
                <w:sz w:val="20"/>
                <w:szCs w:val="20"/>
              </w:rPr>
              <w:t>/rodzaju</w:t>
            </w:r>
            <w:r w:rsidRPr="00BB29EE">
              <w:rPr>
                <w:rFonts w:ascii="Arial" w:eastAsia="Arial" w:hAnsi="Arial" w:cs="Arial"/>
                <w:sz w:val="20"/>
                <w:szCs w:val="20"/>
              </w:rPr>
              <w:t xml:space="preserve"> niepełnosprawności. Oznacza to, że osoby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 niepełnosprawnościami, a także osoby </w:t>
            </w:r>
            <w:r w:rsidRPr="00BB29EE">
              <w:rPr>
                <w:rFonts w:ascii="Arial" w:eastAsia="Arial" w:hAnsi="Arial" w:cs="Arial"/>
                <w:sz w:val="20"/>
                <w:szCs w:val="20"/>
              </w:rPr>
              <w:t xml:space="preserve">mieszkające w małych miastach i wsiach będą miały równe szanse podniesienia swoich kompetencji cyfrowych. </w:t>
            </w:r>
            <w:r w:rsidRPr="006F2D6C">
              <w:rPr>
                <w:rFonts w:ascii="Arial" w:eastAsia="Arial" w:hAnsi="Arial" w:cs="Arial"/>
                <w:sz w:val="20"/>
                <w:szCs w:val="20"/>
              </w:rPr>
              <w:t>Realizacja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powyższego założenia będzie dodatkowo wsparta poprzez odpowiednio targetowaną kampanię marketingową.</w:t>
            </w:r>
          </w:p>
          <w:p w14:paraId="059CE0F5" w14:textId="77777777" w:rsidR="00ED2B1A" w:rsidRPr="00BB29EE" w:rsidRDefault="00ED2B1A" w:rsidP="007C309B">
            <w:pPr>
              <w:spacing w:before="12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B29EE">
              <w:rPr>
                <w:rFonts w:ascii="Arial" w:eastAsia="Arial" w:hAnsi="Arial" w:cs="Arial"/>
                <w:bCs/>
                <w:sz w:val="20"/>
                <w:szCs w:val="20"/>
              </w:rPr>
              <w:t xml:space="preserve">Grupą docelową projektu będą </w:t>
            </w:r>
            <w:r w:rsidRPr="00BB29EE">
              <w:rPr>
                <w:rFonts w:ascii="Arial" w:eastAsia="Arial" w:hAnsi="Arial" w:cs="Arial"/>
                <w:sz w:val="20"/>
                <w:szCs w:val="20"/>
              </w:rPr>
              <w:t>osoby pełnoletnie, które w momencie przystępowa</w:t>
            </w:r>
            <w:r>
              <w:rPr>
                <w:rFonts w:ascii="Arial" w:eastAsia="Arial" w:hAnsi="Arial" w:cs="Arial"/>
                <w:sz w:val="20"/>
                <w:szCs w:val="20"/>
              </w:rPr>
              <w:t>nia do projektu nie ukończyły 30</w:t>
            </w:r>
            <w:r w:rsidRPr="00BB29EE">
              <w:rPr>
                <w:rFonts w:ascii="Arial" w:eastAsia="Arial" w:hAnsi="Arial" w:cs="Arial"/>
                <w:sz w:val="20"/>
                <w:szCs w:val="20"/>
              </w:rPr>
              <w:t xml:space="preserve"> r.ż. oraz: nie są zatrudnione na podstawie umowy o pracę lub należą do następującej kategorii osób: tzw. ubodzy pracujący, osoby pracujące na kontraktach krótkoterminowych lub umowach cywilno-prawnych, o ile ich wynagrodzenie miesięcznie nie przekracza 120% wysokości minimalnego wynagrodzenia o pracę.</w:t>
            </w:r>
          </w:p>
          <w:p w14:paraId="6E6ECCCD" w14:textId="77777777" w:rsidR="00ED2B1A" w:rsidRPr="00852FC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B29EE">
              <w:rPr>
                <w:rFonts w:ascii="Arial" w:eastAsia="Arial" w:hAnsi="Arial" w:cs="Arial"/>
                <w:sz w:val="20"/>
                <w:szCs w:val="20"/>
              </w:rPr>
              <w:t>Pośrednio grupą korzystającą z projektu będą mikro-, małe i średnie przedsiębiorstwa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(MŚP)</w:t>
            </w:r>
            <w:r w:rsidRPr="00BB29EE">
              <w:rPr>
                <w:rFonts w:ascii="Arial" w:eastAsia="Arial" w:hAnsi="Arial" w:cs="Arial"/>
                <w:sz w:val="20"/>
                <w:szCs w:val="20"/>
              </w:rPr>
              <w:t>, wykazujące gotowość do transformacji cyfrowej</w:t>
            </w:r>
            <w:r w:rsidRPr="00706882">
              <w:rPr>
                <w:rFonts w:ascii="Arial" w:eastAsia="Arial" w:hAnsi="Arial" w:cs="Arial"/>
                <w:sz w:val="20"/>
                <w:szCs w:val="20"/>
              </w:rPr>
              <w:t xml:space="preserve">. Warunkiem zakwalifikowania do projektu będzie </w:t>
            </w:r>
            <w:r>
              <w:rPr>
                <w:rFonts w:ascii="Arial" w:eastAsia="Arial" w:hAnsi="Arial" w:cs="Arial"/>
                <w:sz w:val="20"/>
                <w:szCs w:val="20"/>
              </w:rPr>
              <w:t>przynależność przedsiębiorstwa do jednej z następujących kategorii: mikro-, małych i średnich przedsiębiorstw oraz</w:t>
            </w:r>
            <w:r w:rsidRPr="00706882">
              <w:rPr>
                <w:rFonts w:ascii="Arial" w:eastAsia="Arial" w:hAnsi="Arial" w:cs="Arial"/>
                <w:sz w:val="20"/>
                <w:szCs w:val="20"/>
              </w:rPr>
              <w:t xml:space="preserve"> przedstawienie planu rozwoju w obszarze marketingu internetowego i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706882">
              <w:rPr>
                <w:rFonts w:ascii="Arial" w:eastAsia="Arial" w:hAnsi="Arial" w:cs="Arial"/>
                <w:sz w:val="20"/>
                <w:szCs w:val="20"/>
              </w:rPr>
              <w:t xml:space="preserve"> zaangażowanie w to stażystę.</w:t>
            </w:r>
            <w:r w:rsidRPr="00852F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BB3BE59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9A2923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Projekt składa się z trzech części:</w:t>
            </w:r>
          </w:p>
          <w:p w14:paraId="1A28DE29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Faza 1 – Opracowanie rozwiązania</w:t>
            </w:r>
          </w:p>
          <w:p w14:paraId="2CDF9872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Termin</w:t>
            </w:r>
            <w:r w:rsidRPr="00AC6FBB">
              <w:rPr>
                <w:rFonts w:ascii="Arial" w:eastAsia="Arial" w:hAnsi="Arial" w:cs="Arial"/>
                <w:sz w:val="20"/>
                <w:szCs w:val="20"/>
              </w:rPr>
              <w:t>: 08.2021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– 04.2022</w:t>
            </w:r>
          </w:p>
          <w:p w14:paraId="18E8272E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Faza 2 – Testowanie rozwiązania</w:t>
            </w:r>
          </w:p>
          <w:p w14:paraId="1D33DA6B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Termin: 04.2022 – 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.202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694EF204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Faza 3 – Upowszechnienie rozwiązania</w:t>
            </w:r>
          </w:p>
          <w:p w14:paraId="14A777AB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Termin: 0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.2023 – 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.2023</w:t>
            </w:r>
          </w:p>
          <w:p w14:paraId="77A6AA64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E3C546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Faza I</w:t>
            </w:r>
            <w:r w:rsidRPr="008D1F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– Opracowanie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pilotażowego </w:t>
            </w:r>
            <w:r w:rsidRPr="008D1F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rozwiązania </w:t>
            </w:r>
          </w:p>
          <w:p w14:paraId="7013ED83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NASK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, wspólnie z Pełnomocnikiem Rządu ds. Polityki Młodzieżowej, Centrum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lastRenderedPageBreak/>
              <w:t>GovTech oraz Partnerami Edukacyjnymi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(dalej: PE)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irmą technologiczną Google Polska oraz 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zkołą Główną Handlową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rozpoczęli przygotowania do Projektu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0B0A8C">
              <w:rPr>
                <w:rFonts w:ascii="Arial" w:eastAsia="Arial" w:hAnsi="Arial" w:cs="Arial"/>
                <w:sz w:val="20"/>
                <w:szCs w:val="20"/>
              </w:rPr>
              <w:t>W ramach programu GovTech zostanie przeprowadzona edycja pilotażowa wsparcia, która będzie finansowana ze środków GovTech oraz PE. Pozwoli to na weryfikację w praktyce, a także ewentualną modyfikację głównych założeń wsparcia, planowanego w ramach niniejszego projektu pn. Kariera Jutra. Do zadań realizowanych w ramach pilotażu z GovTech należą:</w:t>
            </w:r>
          </w:p>
          <w:p w14:paraId="478BA7AF" w14:textId="77777777" w:rsidR="00ED2B1A" w:rsidRPr="00D66B8F" w:rsidRDefault="00ED2B1A" w:rsidP="007C309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line="276" w:lineRule="auto"/>
              <w:ind w:left="839" w:hanging="567"/>
              <w:contextualSpacing w:val="0"/>
              <w:rPr>
                <w:rFonts w:eastAsia="Arial" w:cs="Arial"/>
                <w:szCs w:val="20"/>
              </w:rPr>
            </w:pPr>
            <w:r w:rsidRPr="00D66B8F">
              <w:rPr>
                <w:rFonts w:eastAsia="Arial" w:cs="Arial"/>
                <w:szCs w:val="20"/>
              </w:rPr>
              <w:t xml:space="preserve">Utworzenie Rady Programowej składającej się z reprezentantów instytucji i ekspertów, którzy rozumieją problematykę </w:t>
            </w:r>
            <w:r>
              <w:rPr>
                <w:rFonts w:eastAsia="Arial" w:cs="Arial"/>
                <w:szCs w:val="20"/>
              </w:rPr>
              <w:t xml:space="preserve">grup docelowych a  także </w:t>
            </w:r>
            <w:r w:rsidRPr="00D66B8F">
              <w:rPr>
                <w:rFonts w:eastAsia="Arial" w:cs="Arial"/>
                <w:szCs w:val="20"/>
              </w:rPr>
              <w:t>gospodarki cyfrowej</w:t>
            </w:r>
            <w:r>
              <w:rPr>
                <w:rFonts w:eastAsia="Arial" w:cs="Arial"/>
                <w:szCs w:val="20"/>
              </w:rPr>
              <w:t>. W jej skład wejdą w szczególności</w:t>
            </w:r>
            <w:r w:rsidRPr="00D66B8F">
              <w:rPr>
                <w:rFonts w:eastAsia="Arial" w:cs="Arial"/>
                <w:szCs w:val="20"/>
              </w:rPr>
              <w:t>:</w:t>
            </w:r>
          </w:p>
          <w:p w14:paraId="53ACD065" w14:textId="77777777" w:rsidR="00ED2B1A" w:rsidRPr="008D1F3E" w:rsidRDefault="00ED2B1A" w:rsidP="007C309B">
            <w:pPr>
              <w:spacing w:after="0"/>
              <w:ind w:left="11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Reprezentant NASK,</w:t>
            </w:r>
          </w:p>
          <w:p w14:paraId="27C39B25" w14:textId="77777777" w:rsidR="00ED2B1A" w:rsidRPr="008D1F3E" w:rsidRDefault="00ED2B1A" w:rsidP="007C309B">
            <w:pPr>
              <w:spacing w:after="0"/>
              <w:ind w:left="11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Reprezentant Pełnomocnika Rządu ds. Polityki Młodzieżowej,</w:t>
            </w:r>
          </w:p>
          <w:p w14:paraId="162395DD" w14:textId="77777777" w:rsidR="00ED2B1A" w:rsidRPr="008D1F3E" w:rsidRDefault="00ED2B1A" w:rsidP="007C309B">
            <w:pPr>
              <w:spacing w:after="0"/>
              <w:ind w:left="11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Reprezentant Centrum GovTech,</w:t>
            </w:r>
          </w:p>
          <w:p w14:paraId="6E38F455" w14:textId="77777777" w:rsidR="00ED2B1A" w:rsidRPr="008D1F3E" w:rsidRDefault="00ED2B1A" w:rsidP="007C309B">
            <w:pPr>
              <w:spacing w:after="0"/>
              <w:ind w:left="11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Reprezentant Szkoły Głównej Handlowej w Warszawie,</w:t>
            </w:r>
          </w:p>
          <w:p w14:paraId="1A0251CC" w14:textId="77777777" w:rsidR="00ED2B1A" w:rsidRPr="008D1F3E" w:rsidRDefault="00ED2B1A" w:rsidP="007C309B">
            <w:pPr>
              <w:spacing w:after="0"/>
              <w:ind w:left="11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Reprezentant Rady Dialogu z Młodym Pokoleniem,</w:t>
            </w:r>
          </w:p>
          <w:p w14:paraId="6608CEC2" w14:textId="77777777" w:rsidR="00ED2B1A" w:rsidRDefault="00ED2B1A" w:rsidP="007C309B">
            <w:pPr>
              <w:spacing w:after="0"/>
              <w:ind w:left="11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Reprezentant firmy Google Polska,</w:t>
            </w:r>
          </w:p>
          <w:p w14:paraId="7AF0C589" w14:textId="77777777" w:rsidR="00ED2B1A" w:rsidRPr="009C6619" w:rsidRDefault="00ED2B1A" w:rsidP="007C309B">
            <w:pPr>
              <w:pStyle w:val="Akapitzlist"/>
              <w:spacing w:line="276" w:lineRule="auto"/>
              <w:ind w:left="100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  </w:t>
            </w:r>
            <w:r w:rsidRPr="008D1F3E">
              <w:rPr>
                <w:rFonts w:eastAsia="Arial" w:cs="Arial"/>
                <w:szCs w:val="20"/>
              </w:rPr>
              <w:t>●</w:t>
            </w:r>
            <w:r>
              <w:rPr>
                <w:rFonts w:eastAsia="Arial" w:cs="Arial"/>
                <w:szCs w:val="20"/>
              </w:rPr>
              <w:t xml:space="preserve">   </w:t>
            </w:r>
            <w:r w:rsidRPr="009C6619">
              <w:rPr>
                <w:rFonts w:eastAsia="Arial" w:cs="Arial"/>
                <w:szCs w:val="20"/>
              </w:rPr>
              <w:t xml:space="preserve">Reprezentant środowisk osób z niepełnosprawnościami z sektora </w:t>
            </w:r>
            <w:r>
              <w:rPr>
                <w:rFonts w:eastAsia="Arial" w:cs="Arial"/>
                <w:szCs w:val="20"/>
              </w:rPr>
              <w:t xml:space="preserve">  pozarządowego</w:t>
            </w:r>
            <w:r w:rsidRPr="009C6619">
              <w:rPr>
                <w:rFonts w:eastAsia="Arial" w:cs="Arial"/>
                <w:szCs w:val="20"/>
              </w:rPr>
              <w:t>,</w:t>
            </w:r>
          </w:p>
          <w:p w14:paraId="01D7098A" w14:textId="77777777" w:rsidR="00ED2B1A" w:rsidRDefault="00ED2B1A" w:rsidP="007C309B">
            <w:pPr>
              <w:spacing w:after="0"/>
              <w:ind w:left="11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326D47" w:rsidRPr="008D1F3E">
              <w:rPr>
                <w:rFonts w:ascii="Arial" w:eastAsia="Arial" w:hAnsi="Arial" w:cs="Arial"/>
                <w:sz w:val="20"/>
                <w:szCs w:val="20"/>
              </w:rPr>
              <w:t xml:space="preserve">Reprezentant </w:t>
            </w:r>
            <w:r w:rsidR="00326D47" w:rsidRPr="004B6D38">
              <w:rPr>
                <w:rFonts w:ascii="Arial" w:eastAsia="Arial" w:hAnsi="Arial" w:cs="Arial"/>
                <w:sz w:val="20"/>
                <w:szCs w:val="20"/>
              </w:rPr>
              <w:t>Sektorowej Rady ds. Kompetencji Sektora Komunikacji Marketingowej</w:t>
            </w:r>
            <w:r w:rsidR="00326D47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195B4D9" w14:textId="77777777" w:rsidR="00ED2B1A" w:rsidRDefault="00ED2B1A" w:rsidP="007C309B">
            <w:pPr>
              <w:spacing w:after="0"/>
              <w:ind w:left="11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47A7C6" w14:textId="77777777" w:rsidR="00ED2B1A" w:rsidRDefault="00ED2B1A" w:rsidP="007C309B">
            <w:pPr>
              <w:spacing w:after="0"/>
              <w:ind w:left="138" w:firstLine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Przygotowanie założeń strategicznych i operacyjnych Projektu;</w:t>
            </w:r>
          </w:p>
          <w:p w14:paraId="72FC3796" w14:textId="77777777" w:rsidR="00ED2B1A" w:rsidRPr="008D1F3E" w:rsidRDefault="00ED2B1A" w:rsidP="007C309B">
            <w:pPr>
              <w:spacing w:after="0"/>
              <w:ind w:left="698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Badanie potrzeb grup docelowych poprzez przeprowadzenie pogłębionych wywiadów z firmami i młodymi ludźmi,</w:t>
            </w:r>
          </w:p>
          <w:p w14:paraId="50ED5B78" w14:textId="77777777" w:rsidR="00ED2B1A" w:rsidRDefault="00ED2B1A" w:rsidP="007C309B">
            <w:pPr>
              <w:spacing w:after="0"/>
              <w:ind w:left="698" w:hanging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Przygotowanie e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tapu szkoleniowego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w szczególności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założeń do sylabusa szkoleniowego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oraz p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rzygotowanie platformy szkoleniowej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CDAECAD" w14:textId="77777777" w:rsidR="00ED2B1A" w:rsidRPr="008D1F3E" w:rsidRDefault="00ED2B1A" w:rsidP="007C309B">
            <w:pPr>
              <w:spacing w:after="0"/>
              <w:ind w:left="138" w:firstLine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C466F6">
              <w:rPr>
                <w:rFonts w:ascii="Arial" w:eastAsia="Arial" w:hAnsi="Arial" w:cs="Arial"/>
                <w:sz w:val="20"/>
                <w:szCs w:val="20"/>
              </w:rPr>
              <w:t>Przygotowanie koncepcji płatnych staży,</w:t>
            </w:r>
          </w:p>
          <w:p w14:paraId="35B679C5" w14:textId="77777777" w:rsidR="00ED2B1A" w:rsidRDefault="00ED2B1A" w:rsidP="007C309B">
            <w:pPr>
              <w:spacing w:after="0"/>
              <w:ind w:left="2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  <w:t>Nawiązanie partnerstw merytorycznych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346A5B00" w14:textId="77777777" w:rsidR="00ED2B1A" w:rsidRDefault="00ED2B1A" w:rsidP="007C309B">
            <w:pPr>
              <w:spacing w:after="0"/>
              <w:ind w:left="2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Zaprojektowanie kampanii promocyjnej,</w:t>
            </w:r>
          </w:p>
          <w:p w14:paraId="6F31E012" w14:textId="77777777" w:rsidR="00ED2B1A" w:rsidRDefault="00ED2B1A" w:rsidP="007C309B">
            <w:pPr>
              <w:spacing w:after="0"/>
              <w:ind w:left="2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B06712">
              <w:rPr>
                <w:rFonts w:ascii="Arial" w:eastAsia="Arial" w:hAnsi="Arial" w:cs="Arial"/>
                <w:sz w:val="20"/>
                <w:szCs w:val="20"/>
              </w:rPr>
              <w:t>Przeprowadzenie pilotażu</w:t>
            </w:r>
            <w:r w:rsidRPr="00D66B8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76E00E8" w14:textId="77777777" w:rsidR="00F65AE2" w:rsidRDefault="00F65AE2" w:rsidP="007C309B">
            <w:pPr>
              <w:spacing w:after="0"/>
              <w:ind w:left="2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25B38E" w14:textId="77777777" w:rsidR="00981EDE" w:rsidRDefault="00981EDE" w:rsidP="007C309B">
            <w:pPr>
              <w:spacing w:before="120" w:after="100" w:afterAutospac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Rolą Rady Programowej będzie przede wszystkim ustalanie program</w:t>
            </w:r>
            <w:r w:rsidR="007934EF"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szkoleń, weryfikacja i monitoring wdrażania szkoleń i staży przez cały okres projektu.</w:t>
            </w:r>
          </w:p>
          <w:p w14:paraId="7B65F7F1" w14:textId="77777777" w:rsidR="00ED2B1A" w:rsidRPr="00D66B8F" w:rsidRDefault="00ED2B1A" w:rsidP="007C309B">
            <w:pPr>
              <w:spacing w:before="120" w:after="100" w:afterAutospacing="1"/>
              <w:rPr>
                <w:rFonts w:ascii="Arial" w:eastAsia="Arial" w:hAnsi="Arial" w:cs="Arial"/>
                <w:sz w:val="20"/>
                <w:szCs w:val="20"/>
              </w:rPr>
            </w:pPr>
            <w:r w:rsidRPr="00D66B8F">
              <w:rPr>
                <w:rFonts w:ascii="Arial" w:eastAsia="Arial" w:hAnsi="Arial" w:cs="Arial"/>
                <w:sz w:val="20"/>
                <w:szCs w:val="20"/>
              </w:rPr>
              <w:t xml:space="preserve">Powyższe działania zostaną wypracowane w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oparciu o </w:t>
            </w:r>
            <w:r w:rsidRPr="00D66B8F">
              <w:rPr>
                <w:rFonts w:ascii="Arial" w:eastAsia="Arial" w:hAnsi="Arial" w:cs="Arial"/>
                <w:sz w:val="20"/>
                <w:szCs w:val="20"/>
              </w:rPr>
              <w:t>doświadczenia Partnera Edukacyjnego</w:t>
            </w:r>
            <w:r w:rsidR="00F65AE2">
              <w:rPr>
                <w:rFonts w:ascii="Arial" w:eastAsia="Arial" w:hAnsi="Arial" w:cs="Arial"/>
                <w:sz w:val="20"/>
                <w:szCs w:val="20"/>
              </w:rPr>
              <w:t xml:space="preserve"> (Google)</w:t>
            </w:r>
            <w:r w:rsidRPr="00D66B8F">
              <w:rPr>
                <w:rFonts w:ascii="Arial" w:eastAsia="Arial" w:hAnsi="Arial" w:cs="Arial"/>
                <w:sz w:val="20"/>
                <w:szCs w:val="20"/>
              </w:rPr>
              <w:t xml:space="preserve"> z przeprowadz</w:t>
            </w:r>
            <w:r>
              <w:rPr>
                <w:rFonts w:ascii="Arial" w:eastAsia="Arial" w:hAnsi="Arial" w:cs="Arial"/>
                <w:sz w:val="20"/>
                <w:szCs w:val="20"/>
              </w:rPr>
              <w:t>enia</w:t>
            </w:r>
            <w:r w:rsidRPr="00D66B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podobnych p</w:t>
            </w:r>
            <w:r w:rsidRPr="00D66B8F">
              <w:rPr>
                <w:rFonts w:ascii="Arial" w:eastAsia="Arial" w:hAnsi="Arial" w:cs="Arial"/>
                <w:sz w:val="20"/>
                <w:szCs w:val="20"/>
              </w:rPr>
              <w:t xml:space="preserve">rojektów w innych krajach Unii Europejskiej. </w:t>
            </w:r>
          </w:p>
          <w:p w14:paraId="11E5E2F3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Faza II – Testowanie rozwiązania</w:t>
            </w:r>
          </w:p>
          <w:p w14:paraId="3B403B33" w14:textId="77777777" w:rsidR="00ED2B1A" w:rsidRPr="00D14DF6" w:rsidRDefault="00ED2B1A" w:rsidP="007C309B">
            <w:pPr>
              <w:spacing w:after="0"/>
              <w:ind w:left="280" w:hanging="280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a)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D14DF6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Rekrutacja oraz kwalifikacja do Projektu </w:t>
            </w:r>
          </w:p>
          <w:p w14:paraId="2A2BF2D6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Na podstawie przyjętych założeń odbędzie się weryfikacja zgłoszeń i wybór uczestników Projektu.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30FD760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C683B2" w14:textId="77777777" w:rsidR="00ED2B1A" w:rsidRPr="008D1F3E" w:rsidRDefault="00ED2B1A" w:rsidP="007C309B">
            <w:pPr>
              <w:spacing w:after="0"/>
              <w:ind w:hanging="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b)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14DF6">
              <w:rPr>
                <w:rFonts w:ascii="Arial" w:eastAsia="Arial" w:hAnsi="Arial" w:cs="Arial"/>
                <w:sz w:val="20"/>
                <w:szCs w:val="20"/>
                <w:u w:val="single"/>
              </w:rPr>
              <w:t>Realizacja szkoleń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7B72D63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Działanie zostanie zrealizowane i w całości pokryte ze środków własnych</w:t>
            </w:r>
            <w:r w:rsidR="00BC76C2">
              <w:rPr>
                <w:rFonts w:ascii="Arial" w:eastAsia="Arial" w:hAnsi="Arial" w:cs="Arial"/>
                <w:sz w:val="20"/>
                <w:szCs w:val="20"/>
              </w:rPr>
              <w:t xml:space="preserve"> przez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Partnera Edukacyjnego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Google Polska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. Długość szkoleń to ok. 2 miesiące;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 planowana liczba osób przeszkolonych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w zakresie marketingu internetowego i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technologii cyfrowych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wynosi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maksymalnie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5 tys.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55141E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466F6">
              <w:rPr>
                <w:rFonts w:ascii="Arial" w:eastAsia="Arial" w:hAnsi="Arial" w:cs="Arial"/>
                <w:sz w:val="20"/>
                <w:szCs w:val="20"/>
              </w:rPr>
              <w:t>Metodyka szkoleń zostanie wypracowana w ramach fazy pilotażowej.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Oferta szkoleniowa obejmuje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ok.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40 webinarów na żywo,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tym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90 godzin zajęć oraz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lastRenderedPageBreak/>
              <w:t>dostęp do grupy dyskusyjnej z trenerami. Całość będzie podzielona na obszar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eastAsia="Arial" w:hAnsi="Arial" w:cs="Arial"/>
                <w:sz w:val="20"/>
                <w:szCs w:val="20"/>
              </w:rPr>
              <w:t>e obejmujące m.in. p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odstawy zarządzania i biznesu;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odstawy marketingu internetowego</w:t>
            </w:r>
            <w:r>
              <w:rPr>
                <w:rFonts w:ascii="Arial" w:eastAsia="Arial" w:hAnsi="Arial" w:cs="Arial"/>
                <w:sz w:val="20"/>
                <w:szCs w:val="20"/>
              </w:rPr>
              <w:t>, t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echnologiczne aspekty prowadzenia biznesu w sieci;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erformance marketing w praktyce;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ykorzystanie danych w optymalizacji biznesu;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arzędzia chmurowe w biznesie i marketingu. </w:t>
            </w:r>
          </w:p>
          <w:p w14:paraId="5FF1A521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Dodatkowo, </w:t>
            </w:r>
            <w:r>
              <w:rPr>
                <w:rFonts w:ascii="Arial" w:eastAsia="Arial" w:hAnsi="Arial" w:cs="Arial"/>
                <w:sz w:val="20"/>
                <w:szCs w:val="20"/>
              </w:rPr>
              <w:t>oprócz oferty szkoleniowej planowane jest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wsparcie każdego uczestnika w postaci coachingu, w tym rozwijanie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umiejętności </w:t>
            </w:r>
            <w:r>
              <w:rPr>
                <w:rFonts w:ascii="Arial" w:eastAsia="Arial" w:hAnsi="Arial" w:cs="Arial"/>
                <w:sz w:val="20"/>
                <w:szCs w:val="20"/>
              </w:rPr>
              <w:t>społecznych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, takich jak: analiza swoich silnych i słabych stron; organizacja czasu, rozwiązywanie konfliktów oraz przygotowanie do rozmowy o pracę. </w:t>
            </w:r>
          </w:p>
          <w:p w14:paraId="5458C1D9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Planowane jest  przeprowadzenie szkoleń w trzech etapach: podstawowym, średniozaawansowanym i zaawansowanym, Po każdym z etapów uczestnicy będą musieli zadać egzamin, wykazując się odpowiednią wiedzą i umiejętnościami praktycznymi. Po zakończeniu ostatniego etapu i pomyślnym zdaniu egzaminu końcowego uczestnicy otrzymają Certyfikat poświadczający zdobytą wiedzę i  umiejętności.</w:t>
            </w:r>
          </w:p>
          <w:p w14:paraId="6C117A05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830A00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c)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14DF6">
              <w:rPr>
                <w:rFonts w:ascii="Arial" w:eastAsia="Arial" w:hAnsi="Arial" w:cs="Arial"/>
                <w:sz w:val="20"/>
                <w:szCs w:val="20"/>
                <w:u w:val="single"/>
              </w:rPr>
              <w:t>Rekrutacja na staże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F238954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Ogłoszenia firm zaakceptowanych do udziału w projekcie będą zamieszczane na stronie z ogłoszeniami staży. Kandydaci wybierają firmę (lub firmy). Firmy przeprowadzą proces rekrutacyjny.</w:t>
            </w:r>
          </w:p>
          <w:p w14:paraId="51582193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d)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14DF6">
              <w:rPr>
                <w:rFonts w:ascii="Arial" w:eastAsia="Arial" w:hAnsi="Arial" w:cs="Arial"/>
                <w:sz w:val="20"/>
                <w:szCs w:val="20"/>
                <w:u w:val="single"/>
              </w:rPr>
              <w:t>Realizacja staży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D0CD7DF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Realizacja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maks.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1200 staży o długości 3 miesięcy dla osób, które ukończyły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etap podstawowy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szkolenia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Podczas realizacji staży uczestnicy projektu nadal będą mogli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rozwijać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praktyce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swoją wiedzę, mając ciągły dostęp do materiałów edukacyjnych i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trenerów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ze strony Partnerów Edukacyjnych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0C26D30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Preferencje przy rekrutacji na staże będą miały osoby z niepełnosprawnościami oraz te, które mieszkają </w:t>
            </w:r>
            <w:r w:rsidRPr="00284CB5">
              <w:rPr>
                <w:rFonts w:ascii="Arial" w:eastAsia="Arial" w:hAnsi="Arial" w:cs="Arial"/>
                <w:sz w:val="20"/>
                <w:szCs w:val="20"/>
              </w:rPr>
              <w:t xml:space="preserve">na terenach wiejskich,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 w:rsidRPr="00284CB5">
              <w:rPr>
                <w:rFonts w:ascii="Arial" w:eastAsia="Arial" w:hAnsi="Arial" w:cs="Arial"/>
                <w:sz w:val="20"/>
                <w:szCs w:val="20"/>
              </w:rPr>
              <w:t xml:space="preserve">małych miastach lub </w:t>
            </w:r>
            <w:r>
              <w:rPr>
                <w:rFonts w:ascii="Arial" w:eastAsia="Arial" w:hAnsi="Arial" w:cs="Arial"/>
                <w:sz w:val="20"/>
                <w:szCs w:val="20"/>
              </w:rPr>
              <w:t>w miastach średniej wielkości</w:t>
            </w:r>
            <w:r w:rsidRPr="00284C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zagrożonych </w:t>
            </w:r>
            <w:r w:rsidRPr="00AF4B75">
              <w:rPr>
                <w:rFonts w:ascii="Arial" w:eastAsia="Arial" w:hAnsi="Arial" w:cs="Arial"/>
                <w:sz w:val="20"/>
                <w:szCs w:val="20"/>
              </w:rPr>
              <w:t xml:space="preserve">utratą </w:t>
            </w:r>
            <w:r>
              <w:rPr>
                <w:rFonts w:ascii="Arial" w:eastAsia="Arial" w:hAnsi="Arial" w:cs="Arial"/>
                <w:sz w:val="20"/>
                <w:szCs w:val="20"/>
              </w:rPr>
              <w:t>swoich</w:t>
            </w:r>
            <w:r w:rsidRPr="00AF4B75">
              <w:rPr>
                <w:rFonts w:ascii="Arial" w:eastAsia="Arial" w:hAnsi="Arial" w:cs="Arial"/>
                <w:sz w:val="20"/>
                <w:szCs w:val="20"/>
              </w:rPr>
              <w:t xml:space="preserve"> funkcji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4B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84CB5">
              <w:rPr>
                <w:rFonts w:ascii="Arial" w:eastAsia="Arial" w:hAnsi="Arial" w:cs="Arial"/>
                <w:sz w:val="20"/>
                <w:szCs w:val="20"/>
              </w:rPr>
              <w:t>społ</w:t>
            </w:r>
            <w:r>
              <w:rPr>
                <w:rFonts w:ascii="Arial" w:eastAsia="Arial" w:hAnsi="Arial" w:cs="Arial"/>
                <w:sz w:val="20"/>
                <w:szCs w:val="20"/>
              </w:rPr>
              <w:t>eczno</w:t>
            </w:r>
            <w:r w:rsidRPr="00284CB5">
              <w:rPr>
                <w:rFonts w:ascii="Arial" w:eastAsia="Arial" w:hAnsi="Arial" w:cs="Arial"/>
                <w:sz w:val="20"/>
                <w:szCs w:val="20"/>
              </w:rPr>
              <w:t>-gosp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odarczych. Preferencje w procesie rekrutacji na  staże zostaną również wprowadzone dla osób, które straciły zatrudnienie w wyniku pandemii Covid-19. </w:t>
            </w:r>
          </w:p>
          <w:p w14:paraId="2DE3A8D9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Uczestnicy wiedzę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zdobytą podczas szkoleń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wykorzystają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szczególności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polepszenia obecności firmy w internecie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zwiększenia sprzedaży </w:t>
            </w:r>
            <w:r>
              <w:rPr>
                <w:rFonts w:ascii="Arial" w:eastAsia="Arial" w:hAnsi="Arial" w:cs="Arial"/>
                <w:sz w:val="20"/>
                <w:szCs w:val="20"/>
              </w:rPr>
              <w:t>on-line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, dzięki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wprowadzeniu </w:t>
            </w:r>
            <w:r>
              <w:rPr>
                <w:rFonts w:ascii="Arial" w:eastAsia="Arial" w:hAnsi="Arial" w:cs="Arial"/>
                <w:sz w:val="20"/>
                <w:szCs w:val="20"/>
              </w:rPr>
              <w:t>adekwatnych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strategii marketingowych,</w:t>
            </w:r>
            <w:r w:rsidRPr="008D1F3E" w:rsidDel="00547B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zwiększeniu widoczności firmy w internecie</w:t>
            </w:r>
            <w:r>
              <w:rPr>
                <w:rFonts w:ascii="Arial" w:eastAsia="Arial" w:hAnsi="Arial" w:cs="Arial"/>
                <w:sz w:val="20"/>
                <w:szCs w:val="20"/>
              </w:rPr>
              <w:t>, z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większeniu liczby wejść na stronę i telefonów do firmy,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usprawnienie procesu zakupowego,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optymalizacji strony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www firmy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transformacji cyfrowej, na którą składają się implementacja narzędzi chmurowych, które ułatwiają kolaborację w zespole, pozwalają podejmować lepsze decyzje biznesowe i zwiększają efektywność przedsiębiorstwa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1D16194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Aby skutecznie realizować założone cele, nie tylko uczestnicy, ale i właściciele firm powinni rozumieć cel i sens udziału w Projekcie. </w:t>
            </w:r>
            <w:r w:rsidRPr="000D1FA5">
              <w:rPr>
                <w:rFonts w:ascii="Arial" w:eastAsia="Arial" w:hAnsi="Arial" w:cs="Arial"/>
                <w:sz w:val="20"/>
                <w:szCs w:val="20"/>
              </w:rPr>
              <w:t>Z tego względu, zostanie przygotowany Indywidualny Program Stażu opisujący zakres umiejętności oraz przykładowe zmiany, które osoba po kursie mogłaby wprowadzić do firmy. Posłuży to odpowiedniemu przygotowaniu przedsiębiorstwa do wykorzystania potencjału stażysty.</w:t>
            </w:r>
          </w:p>
          <w:p w14:paraId="28992EF4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AB055C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e) </w:t>
            </w:r>
            <w:r w:rsidRPr="00D14DF6">
              <w:rPr>
                <w:rFonts w:ascii="Arial" w:eastAsia="Arial" w:hAnsi="Arial" w:cs="Arial"/>
                <w:sz w:val="20"/>
                <w:szCs w:val="20"/>
                <w:u w:val="single"/>
              </w:rPr>
              <w:t>Wsparcie w znalezieniu zatrudnienia</w:t>
            </w:r>
          </w:p>
          <w:p w14:paraId="16F94F2D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Cykl zadań w Projekcie zakończy wsparcie uczestnika w znalezieniu pracy w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innym miejscu, na wypadek, gdy po zakończeniu stażu, </w:t>
            </w:r>
            <w:r>
              <w:rPr>
                <w:rFonts w:ascii="Arial" w:eastAsia="Arial" w:hAnsi="Arial" w:cs="Arial"/>
                <w:sz w:val="20"/>
                <w:szCs w:val="20"/>
              </w:rPr>
              <w:t>firma nie zdecydowałaby się na kontynuowanie współpracy ze stażystą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>Planowane jest wykorzystanie dwóch głównych metod:</w:t>
            </w:r>
          </w:p>
          <w:p w14:paraId="755F2006" w14:textId="77777777" w:rsidR="00ED2B1A" w:rsidRPr="008D1F3E" w:rsidRDefault="00ED2B1A" w:rsidP="007C309B">
            <w:pPr>
              <w:spacing w:after="0"/>
              <w:ind w:left="422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●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Wsparcie uczestników w pozyskaniu pracy w </w:t>
            </w:r>
            <w:r>
              <w:rPr>
                <w:rFonts w:ascii="Arial" w:eastAsia="Arial" w:hAnsi="Arial" w:cs="Arial"/>
                <w:sz w:val="20"/>
                <w:szCs w:val="20"/>
              </w:rPr>
              <w:t>innych przedsiębiorstwach biorących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udział w p</w:t>
            </w:r>
            <w:r>
              <w:rPr>
                <w:rFonts w:ascii="Arial" w:eastAsia="Arial" w:hAnsi="Arial" w:cs="Arial"/>
                <w:sz w:val="20"/>
                <w:szCs w:val="20"/>
              </w:rPr>
              <w:t>rojekcie;</w:t>
            </w:r>
          </w:p>
          <w:p w14:paraId="5D5C8C99" w14:textId="77777777" w:rsidR="00ED2B1A" w:rsidRDefault="00ED2B1A" w:rsidP="007C309B">
            <w:pPr>
              <w:spacing w:after="0"/>
              <w:ind w:left="422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lastRenderedPageBreak/>
              <w:t>●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Wsparcie uczestników w pozyskaniu pracy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 wykorzystaniem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programu Firmy Jutra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wdrażanego przez partnerstwo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Google Polska i </w:t>
            </w:r>
            <w:r>
              <w:rPr>
                <w:rFonts w:ascii="Arial" w:eastAsia="Arial" w:hAnsi="Arial" w:cs="Arial"/>
                <w:sz w:val="20"/>
                <w:szCs w:val="20"/>
              </w:rPr>
              <w:t>Polskiego Funduszu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Rozwoju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(baza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158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000 firm,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>które przeszły przez program szkoleniowy rozwoju firmy w internecie i mają określony dalszy plan działań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428AC4B0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6268EA7">
              <w:rPr>
                <w:rFonts w:ascii="Arial" w:eastAsia="Arial" w:hAnsi="Arial" w:cs="Arial"/>
                <w:sz w:val="20"/>
                <w:szCs w:val="20"/>
              </w:rPr>
              <w:t xml:space="preserve">Powyższe metody zostaną wykorzystane również w przypadku osób, które ukończyły szkolenie i uzyskały certyfikat, ale nie dostały się na staż z powodu wyczerpania się puli miejsc stażowych lub z innych powodów, niezależnych od uczestnika lub organizatorów. W ten sposób wsparcie uczestników projektu w zdobyciu zatrudnienia zostanie rozszerzone na dużo większą grupę, niż tylko uczestników staży. </w:t>
            </w:r>
          </w:p>
          <w:p w14:paraId="60A87E7C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Beneficjent będzie monitorował losy</w:t>
            </w:r>
            <w:r w:rsidRPr="00AF4B75">
              <w:rPr>
                <w:rFonts w:ascii="Arial" w:eastAsia="Arial" w:hAnsi="Arial" w:cs="Arial"/>
                <w:sz w:val="20"/>
                <w:szCs w:val="20"/>
              </w:rPr>
              <w:t xml:space="preserve"> uczestników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szkoleń </w:t>
            </w:r>
            <w:r w:rsidRPr="00AF4B75">
              <w:rPr>
                <w:rFonts w:ascii="Arial" w:eastAsia="Arial" w:hAnsi="Arial" w:cs="Arial"/>
                <w:sz w:val="20"/>
                <w:szCs w:val="20"/>
              </w:rPr>
              <w:t>do 6 miesięcy od ich ukończenia. Monitoring będzie przeprowadzony zdalnie za pomocą ankiety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AF4B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094020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EDE6BC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Faza III – Upowszechnianie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rezultatów projektu i włączenie do praktyki</w:t>
            </w:r>
          </w:p>
          <w:p w14:paraId="7DB9B5B3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 w:rsidRPr="00D14DF6">
              <w:rPr>
                <w:rFonts w:ascii="Arial" w:eastAsia="Arial" w:hAnsi="Arial" w:cs="Arial"/>
                <w:sz w:val="20"/>
                <w:szCs w:val="20"/>
                <w:u w:val="single"/>
              </w:rPr>
              <w:t>Kontynuacja szkoleń</w:t>
            </w:r>
          </w:p>
          <w:p w14:paraId="587C9A86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Partner Edukacyjny - Google Polska - będzie dążył do łącznego przeszkolenia 8 tysięcy osób w ramach pilotażu i pierwszej edycji programu. Jeśli ta liczba nie zostanie osiągnięta, Google samodzielnie zrealizuje dodatkowe szkolenia. </w:t>
            </w:r>
          </w:p>
          <w:p w14:paraId="3F40E251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Partner Edukacyjny – SGH – podejmie działania mające na celu wdrożenie wypracowanego modelu do swojego programu kształcenia.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7371CE3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5BF3AD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b) </w:t>
            </w:r>
            <w:r w:rsidRPr="00D14DF6">
              <w:rPr>
                <w:rFonts w:ascii="Arial" w:eastAsia="Arial" w:hAnsi="Arial" w:cs="Arial"/>
                <w:sz w:val="20"/>
                <w:szCs w:val="20"/>
                <w:u w:val="single"/>
              </w:rPr>
              <w:t>Ewaluacja projektu i raport upowszechniający</w:t>
            </w:r>
          </w:p>
          <w:p w14:paraId="5AA00B10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Doświadczenia nabyte przy realizacji tego Projektu umożliwią wypracowanie </w:t>
            </w:r>
            <w:r>
              <w:rPr>
                <w:rFonts w:ascii="Arial" w:eastAsia="Arial" w:hAnsi="Arial" w:cs="Arial"/>
                <w:sz w:val="20"/>
                <w:szCs w:val="20"/>
              </w:rPr>
              <w:t>rekomendowanego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modelu partnerstwa we wdrażaniu rozwiązań, który może </w:t>
            </w:r>
            <w:r>
              <w:rPr>
                <w:rFonts w:ascii="Arial" w:eastAsia="Arial" w:hAnsi="Arial" w:cs="Arial"/>
                <w:sz w:val="20"/>
                <w:szCs w:val="20"/>
              </w:rPr>
              <w:t>być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skalowany w przyszłości na inne obszary. Zebrane zostaną informacje zwrotne od firm i uczestników, celem zmierzenia wpływu Projektu na podniesienie kompetencji cyfrowych młodych ludzi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oraz rozwój firm. Wyniki ewaluacji będą bazą do opracowania raportu upowszechniającego, który będzie m.in. zawierał rekomendacje 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dla rządu i środowiska akademickiego, </w:t>
            </w:r>
            <w:r>
              <w:rPr>
                <w:rFonts w:ascii="Arial" w:eastAsia="Arial" w:hAnsi="Arial" w:cs="Arial"/>
                <w:sz w:val="20"/>
                <w:szCs w:val="20"/>
              </w:rPr>
              <w:t>dot. efektywnego rozwiązywania nadchodzących wyzwań związanych z trudnościami w przejściu z  edukacji na rynek pracy a także</w:t>
            </w: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transformacją cyfrową w okresie postpandemicznym.  Zostaną również podjęte m.in. działania upowszechniające mające na celu wdrożenie wypracowan</w:t>
            </w:r>
            <w:r w:rsidR="00797A53">
              <w:rPr>
                <w:rFonts w:ascii="Arial" w:eastAsia="Arial" w:hAnsi="Arial" w:cs="Arial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program</w:t>
            </w:r>
            <w:r w:rsidR="00797A53"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szkoleń na innych polskich uczelniach.  Integralną częścią ewaluacji projektu będzie analiza możliwości włączenia rezultatów projektu do Zintegrowanego Systemu Kwalifikacji i  rekomendacje w tym zakresie.</w:t>
            </w:r>
          </w:p>
          <w:p w14:paraId="48D54F23" w14:textId="77777777" w:rsidR="00ED2B1A" w:rsidRPr="008D1F3E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</w:p>
          <w:p w14:paraId="3A49C1E4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D1F3E">
              <w:rPr>
                <w:rFonts w:ascii="Arial" w:eastAsia="Arial" w:hAnsi="Arial" w:cs="Arial"/>
                <w:sz w:val="20"/>
                <w:szCs w:val="20"/>
              </w:rPr>
              <w:t>Fazy mogą być realizowane równolegle; rozpoczęcie kolejnego etapu nie jest warunkowane zakończeniem poprzedniego.</w:t>
            </w:r>
          </w:p>
          <w:p w14:paraId="3AA008F1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Szacowana kwota wydatków na projekt została oszacowana na poziomie 12 954 282 PLN, z czego: 10 836 000 PLN na stypendia dla stażystów (1 200 stażystów x 3 010 zł 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>x 3 miesiące); 940 619,50 PLN inne koszty związane 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 xml:space="preserve"> bezpośrednim wsparciem uczestników oraz upowszechnieniem projektu oraz 1 177 661,95 PLN koszty pośrednie.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ED2B1A" w14:paraId="7225F888" w14:textId="77777777" w:rsidTr="007C309B">
        <w:trPr>
          <w:trHeight w:val="636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653ABB37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 Podmiot zgłaszający Projekt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7551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2D1908" w14:textId="77777777" w:rsidR="00ED2B1A" w:rsidRDefault="00ED2B1A" w:rsidP="007C309B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Ministerstwo Funduszy i Polityki Regionalnej </w:t>
            </w:r>
          </w:p>
        </w:tc>
      </w:tr>
      <w:tr w:rsidR="00ED2B1A" w14:paraId="09C1CCD0" w14:textId="77777777" w:rsidTr="007C309B">
        <w:trPr>
          <w:trHeight w:val="434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35BC7530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Podmiot, który będzie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wnioskodawcą</w:t>
            </w:r>
          </w:p>
        </w:tc>
        <w:tc>
          <w:tcPr>
            <w:tcW w:w="7551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E88EFA" w14:textId="77777777" w:rsidR="00ED2B1A" w:rsidRDefault="00ED2B1A" w:rsidP="007C309B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Naukowa i Akademicka Sieć Komputerowa - Państwowy Instytut Badawczy (NASK-PIB)</w:t>
            </w:r>
          </w:p>
        </w:tc>
      </w:tr>
      <w:tr w:rsidR="00ED2B1A" w14:paraId="210C5144" w14:textId="77777777" w:rsidTr="007C309B">
        <w:trPr>
          <w:trHeight w:val="434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6ADAFFAE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Uzasadnienie wyboru podmiotu, który będzie wnioskodawcą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551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8FB849" w14:textId="77777777" w:rsidR="00ED2B1A" w:rsidRDefault="00ED2B1A" w:rsidP="007C309B">
            <w:pPr>
              <w:widowControl w:val="0"/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Naukowa i Akademicka Sieć Komputerowa - Państwowy Instytut Badawczy (NASK-PIB) od ponad 25 lat jest partnerem strony rządowej, pozarządowej oraz samorządów w realizacji działań na rzecz cyfryzacji kraju. NASK-PIB realizuje w imieniu i na zlecenie Ministra Cyfryzacji (Kancelarii Prezesa Rady Ministrów) szereg działań przypisanych zgodnie z art. 12a ustawy z dnia 4 września 1997 r. o działach administracji rządowej do działu „informatyzacja”, który obejmuje w szczególności sprawy związane z szeroko rozumianym rozwojem społeczeństwa informacyjnego i przeciwdziałaniem wykluczeniu cyfrowemu.</w:t>
            </w:r>
          </w:p>
          <w:p w14:paraId="1A9DAEF3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NASK-PIB jest podmiotem wykonującym na zlecenie Ministra Cyfryzacji szereg działań w zakresie wzmocnienia cyfrowego i innowacyjności wynikających z następujących strategii:</w:t>
            </w:r>
          </w:p>
          <w:p w14:paraId="2E4D5F71" w14:textId="77777777" w:rsidR="00ED2B1A" w:rsidRDefault="00ED2B1A" w:rsidP="007C309B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“Strategia na Rzecz Odpowiedzialnego Rozwoju” (bezpośrednio: obszar „Cyfryzacja” – cel „Wzmocnienie cyfrowego rozwoju kraju”); </w:t>
            </w:r>
          </w:p>
          <w:p w14:paraId="6953509C" w14:textId="77777777" w:rsidR="00ED2B1A" w:rsidRDefault="00ED2B1A" w:rsidP="007C309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Strategia Innowacyjności i Efektywności Gospodarki „Dynamiczna Polska 2020” – cel 2: „Stymulowanie innowacyjności poprzez wzrost efektywności wiedzy i pracy”, kierunek działań 2.3. „Wspieranie współpracy w tworzeniu i wdrażaniu innowacji”.</w:t>
            </w:r>
          </w:p>
          <w:p w14:paraId="3C48535A" w14:textId="77777777" w:rsidR="00ED2B1A" w:rsidRDefault="00ED2B1A" w:rsidP="007C309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„Polityka dla rozwoju sztucznej inteligencji w Polsce od roku 2020”, obszary: AI i edukacja („programy kursów dla osób zagrożonych utratą pracy w wyniku postępującej automatyzacji i wdrażania nowych technologii”), AI i Społeczeństwo ( „działania, które mają uczynić [...] z Polaków – społeczeństwo świadome konieczności ciągłego podnoszenia wiedzy i umiejętności, w tym kompetencji cyfrowych”).</w:t>
            </w:r>
          </w:p>
          <w:p w14:paraId="3DB28600" w14:textId="77777777" w:rsidR="00ED2B1A" w:rsidRDefault="00ED2B1A" w:rsidP="007C3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C3097">
              <w:rPr>
                <w:rFonts w:ascii="Arial" w:eastAsia="Arial" w:hAnsi="Arial" w:cs="Arial"/>
                <w:sz w:val="20"/>
                <w:szCs w:val="20"/>
              </w:rPr>
              <w:t xml:space="preserve">Jako podmiot nadzorowany przez ministra właściwego ds. informatyzacji prowadzi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również </w:t>
            </w:r>
            <w:r w:rsidRPr="005C3097">
              <w:rPr>
                <w:rFonts w:ascii="Arial" w:eastAsia="Arial" w:hAnsi="Arial" w:cs="Arial"/>
                <w:sz w:val="20"/>
                <w:szCs w:val="20"/>
              </w:rPr>
              <w:t xml:space="preserve">działalność badawczo-rozwojową, edukacyjną oraz popularyzującą ideę społeczeństwa informacyjnego poprzez realną transformację cyfrową.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NASK jest podmiotem publicznym działającym na rzecz rozwoju szeroko rozumianych kompetencji cyfrowych, 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t>funkcjonującym na styku świata nauki i biznesu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t xml:space="preserve"> tworzącym bazę dla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innowacyjnych produktów i usług. </w:t>
            </w:r>
          </w:p>
          <w:p w14:paraId="04CB93D5" w14:textId="77777777" w:rsidR="00ED2B1A" w:rsidRPr="009D04F6" w:rsidRDefault="00ED2B1A" w:rsidP="007C309B">
            <w:pPr>
              <w:spacing w:before="12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D04F6">
              <w:rPr>
                <w:rFonts w:ascii="Arial" w:eastAsia="Arial" w:hAnsi="Arial" w:cs="Arial"/>
                <w:sz w:val="20"/>
                <w:szCs w:val="20"/>
              </w:rPr>
              <w:t>Ważnym elementem działalności NASK jest edukacja użytkowników oraz promowanie koncepc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ji społeczeństwa informacyjnego. NASK-PIB realizuje projekty badawcze m.in. w 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t>zakresie upowszechnienia i podniesienia jakości edukacji wspomaganej technologiami informacyjno-komunikacyjnymi dla zrównoważonego rozwoju i budowy społeczeństwa informacyjnego</w:t>
            </w:r>
            <w:r>
              <w:rPr>
                <w:rFonts w:ascii="Arial" w:eastAsia="Arial" w:hAnsi="Arial" w:cs="Arial"/>
                <w:sz w:val="20"/>
                <w:szCs w:val="20"/>
              </w:rPr>
              <w:t>, wzmocnienia kompetencji ICT osób młodych.</w:t>
            </w:r>
            <w:r>
              <w:t xml:space="preserve"> </w:t>
            </w:r>
            <w:r w:rsidRPr="00D14DF6">
              <w:rPr>
                <w:rFonts w:ascii="Arial" w:eastAsia="Arial" w:hAnsi="Arial" w:cs="Arial"/>
                <w:sz w:val="20"/>
                <w:szCs w:val="20"/>
              </w:rPr>
              <w:t>Prowadzi badania społeczne i edukacyjne, które pomagają poznać potrzeby i wyzwania związane z użyciem IT w edukacji oraz zidentyfikować bariery w procesie nauczania.</w:t>
            </w:r>
          </w:p>
          <w:p w14:paraId="10F30017" w14:textId="77777777" w:rsidR="00ED2B1A" w:rsidRDefault="00ED2B1A" w:rsidP="007C309B">
            <w:pPr>
              <w:spacing w:before="12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D04F6">
              <w:rPr>
                <w:rFonts w:ascii="Arial" w:eastAsia="Arial" w:hAnsi="Arial" w:cs="Arial"/>
                <w:sz w:val="20"/>
                <w:szCs w:val="20"/>
              </w:rPr>
              <w:t xml:space="preserve">NASK realizuje </w:t>
            </w:r>
            <w:r>
              <w:rPr>
                <w:rFonts w:ascii="Arial" w:eastAsia="Arial" w:hAnsi="Arial" w:cs="Arial"/>
                <w:sz w:val="20"/>
                <w:szCs w:val="20"/>
              </w:rPr>
              <w:t>projekty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t xml:space="preserve"> o char</w:t>
            </w:r>
            <w:r>
              <w:rPr>
                <w:rFonts w:ascii="Arial" w:eastAsia="Arial" w:hAnsi="Arial" w:cs="Arial"/>
                <w:sz w:val="20"/>
                <w:szCs w:val="20"/>
              </w:rPr>
              <w:t>akterze edukacyjnym stanowiące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t xml:space="preserve"> istotny obszar działalności Instytutu. </w:t>
            </w: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t xml:space="preserve">est parterem strony rządowej, pozarządowej oraz samorządów w realizowaniu idei modernizacji i cyfryzacji kraju.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Instytut jest między innymi operatorem </w:t>
            </w:r>
            <w:hyperlink r:id="rId13" w:history="1">
              <w:r>
                <w:rPr>
                  <w:rFonts w:ascii="Arial" w:eastAsia="Arial" w:hAnsi="Arial" w:cs="Arial"/>
                  <w:sz w:val="20"/>
                  <w:szCs w:val="20"/>
                </w:rPr>
                <w:t xml:space="preserve">Ogólnopolskiej Sieci </w:t>
              </w:r>
              <w:r w:rsidRPr="009D04F6">
                <w:rPr>
                  <w:rFonts w:ascii="Arial" w:eastAsia="Arial" w:hAnsi="Arial" w:cs="Arial"/>
                  <w:sz w:val="20"/>
                  <w:szCs w:val="20"/>
                </w:rPr>
                <w:t>Edukacyjn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>ej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t xml:space="preserve"> (OS</w:t>
            </w:r>
            <w:r>
              <w:rPr>
                <w:rFonts w:ascii="Arial" w:eastAsia="Arial" w:hAnsi="Arial" w:cs="Arial"/>
                <w:sz w:val="20"/>
                <w:szCs w:val="20"/>
              </w:rPr>
              <w:t>E), zaprojektowanej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t xml:space="preserve"> na mocy Ustawy o Ogólnopolskiej Sieci Edukacyjnej </w:t>
            </w:r>
            <w:r>
              <w:rPr>
                <w:rFonts w:ascii="Arial" w:eastAsia="Arial" w:hAnsi="Arial" w:cs="Arial"/>
                <w:sz w:val="20"/>
                <w:szCs w:val="20"/>
              </w:rPr>
              <w:t>przez Ministerstwo Cyfryzacji (obecnie KPRM). Instytut, jako odpowiedź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t xml:space="preserve"> na wyzwania 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lastRenderedPageBreak/>
              <w:t>jakie niesie ze sobą rozw</w:t>
            </w:r>
            <w:r>
              <w:rPr>
                <w:rFonts w:ascii="Arial" w:eastAsia="Arial" w:hAnsi="Arial" w:cs="Arial"/>
                <w:sz w:val="20"/>
                <w:szCs w:val="20"/>
              </w:rPr>
              <w:t>ój nowych technologii cyfrowych, uruchomił również Akademię</w:t>
            </w:r>
            <w:r w:rsidRPr="009D04F6">
              <w:rPr>
                <w:rFonts w:ascii="Arial" w:eastAsia="Arial" w:hAnsi="Arial" w:cs="Arial"/>
                <w:sz w:val="20"/>
                <w:szCs w:val="20"/>
              </w:rPr>
              <w:t xml:space="preserve"> NASK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oraz </w:t>
            </w:r>
            <w:r w:rsidRPr="00196C23">
              <w:rPr>
                <w:rFonts w:ascii="Arial" w:eastAsia="Arial" w:hAnsi="Arial" w:cs="Arial"/>
                <w:sz w:val="20"/>
                <w:szCs w:val="20"/>
              </w:rPr>
              <w:t>zrealizował kampanie edukacyjno-informacyjne na rzecz upowszechnienia korzyści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płynących</w:t>
            </w:r>
            <w:r w:rsidRPr="00196C23">
              <w:rPr>
                <w:rFonts w:ascii="Arial" w:eastAsia="Arial" w:hAnsi="Arial" w:cs="Arial"/>
                <w:sz w:val="20"/>
                <w:szCs w:val="20"/>
              </w:rPr>
              <w:t xml:space="preserve"> z wykorzystywania technologii cyfrowych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NASK jest m.in. autorem raportów „Nastolatki 3.0” oraz „E-transformacja </w:t>
            </w:r>
            <w:r w:rsidRPr="00654286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654286">
              <w:rPr>
                <w:rFonts w:ascii="Arial" w:eastAsia="Arial" w:hAnsi="Arial" w:cs="Arial"/>
                <w:sz w:val="20"/>
                <w:szCs w:val="20"/>
              </w:rPr>
              <w:t xml:space="preserve"> bezpieczeństw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cyfrowe </w:t>
            </w:r>
            <w:r w:rsidRPr="00654286">
              <w:rPr>
                <w:rFonts w:ascii="Arial" w:eastAsia="Arial" w:hAnsi="Arial" w:cs="Arial"/>
                <w:sz w:val="20"/>
                <w:szCs w:val="20"/>
              </w:rPr>
              <w:t>w polskich przedsiębiorstwach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14:paraId="55571E30" w14:textId="77777777" w:rsidR="00ED2B1A" w:rsidRPr="009F775E" w:rsidRDefault="00ED2B1A" w:rsidP="007C309B">
            <w:pPr>
              <w:shd w:val="clear" w:color="auto" w:fill="FFFFFF"/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770A2">
              <w:rPr>
                <w:rFonts w:ascii="Arial" w:eastAsia="Arial" w:hAnsi="Arial" w:cs="Arial"/>
                <w:sz w:val="20"/>
                <w:szCs w:val="20"/>
              </w:rPr>
              <w:t>NASK bierze aktywny udział w pracach uruchomionego 22.10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6770A2">
              <w:rPr>
                <w:rFonts w:ascii="Arial" w:eastAsia="Arial" w:hAnsi="Arial" w:cs="Arial"/>
                <w:sz w:val="20"/>
                <w:szCs w:val="20"/>
              </w:rPr>
              <w:t xml:space="preserve">2019 r. Programu GovTech Polska​, którego celem jest realizacja i koordynacja strategicznych projektów cyfrowych, angażując w to przedsiębiorców oraz obywateli. Celem </w:t>
            </w:r>
            <w:r w:rsidRPr="00933479">
              <w:rPr>
                <w:rFonts w:ascii="Arial" w:eastAsia="Arial" w:hAnsi="Arial" w:cs="Arial"/>
                <w:sz w:val="20"/>
                <w:szCs w:val="20"/>
              </w:rPr>
              <w:t>GovTech jest nie tylko opracowywanie technologicznych rozwiązań, ale udział w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1219F9">
              <w:rPr>
                <w:rFonts w:ascii="Arial" w:eastAsia="Arial" w:hAnsi="Arial" w:cs="Arial"/>
                <w:sz w:val="20"/>
                <w:szCs w:val="20"/>
              </w:rPr>
              <w:t xml:space="preserve"> procesie tworzenia cyfrowej rzeczyw</w:t>
            </w:r>
            <w:r w:rsidRPr="00B8246F">
              <w:rPr>
                <w:rFonts w:ascii="Arial" w:eastAsia="Arial" w:hAnsi="Arial" w:cs="Arial"/>
                <w:sz w:val="20"/>
                <w:szCs w:val="20"/>
              </w:rPr>
              <w:t xml:space="preserve">istości i jej popularyzacji wśród obywateli. </w:t>
            </w:r>
            <w:r w:rsidRPr="00933479">
              <w:rPr>
                <w:rFonts w:ascii="Arial" w:eastAsia="Arial" w:hAnsi="Arial" w:cs="Arial"/>
                <w:sz w:val="20"/>
                <w:szCs w:val="20"/>
              </w:rPr>
              <w:t xml:space="preserve">Jedną z inicjatyw z tego zakresu, podejmowanych przez GovTech z udziałem NASK, jest pilotażowy projekt z udziałem Google Polska w zakresie rozwoju kompetencji cyfrowych młodych Polaków. Powierzenie NASK wdrożenia pilotażu przez GovTech dodatkowo uzasadnia rolę NASK jako beneficjenta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niniejszego projektu pozakonkursowego. </w:t>
            </w:r>
            <w:r w:rsidRPr="00933479">
              <w:rPr>
                <w:rFonts w:ascii="Arial" w:eastAsia="Arial" w:hAnsi="Arial" w:cs="Arial"/>
                <w:sz w:val="20"/>
                <w:szCs w:val="20"/>
              </w:rPr>
              <w:t>Projekt finansowany z EFS jest rozszerzeniem pilotażowego przedsięwzięcia finansowanego ze środków GovTech.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A2DFB3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Dzięki rozbudowanej strukturze organizacyjnej NASK-PIB ma adekwatne kompetencje do realizacji projektów z zakresu kompetencji cyfrowych - posiada wykwalifikowaną kadrę zarządzającą projektami, finansami, wsparcie prawne oraz niezbędne zasoby techniczne i organizacyjne. NASK-PIB ma stabilną sytuację finansową i nie ma zadłużenia.</w:t>
            </w:r>
          </w:p>
        </w:tc>
      </w:tr>
      <w:tr w:rsidR="00ED2B1A" w14:paraId="621B0834" w14:textId="77777777" w:rsidTr="007C309B">
        <w:trPr>
          <w:trHeight w:val="434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70966C13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Czy Projekt będzie realizowany w partnerstwie?</w:t>
            </w:r>
          </w:p>
        </w:tc>
        <w:tc>
          <w:tcPr>
            <w:tcW w:w="183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55BD14F4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88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D9BED0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297A1A2A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2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4A869D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X </w:t>
            </w:r>
          </w:p>
        </w:tc>
      </w:tr>
      <w:tr w:rsidR="00ED2B1A" w14:paraId="016BA3EF" w14:textId="77777777" w:rsidTr="007C309B">
        <w:trPr>
          <w:trHeight w:val="1583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4216A48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Podmioty, które będą partnerami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w projekcie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i uzasadnienie ich wyboru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51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B3CA7A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Nie dotyczy</w:t>
            </w:r>
          </w:p>
        </w:tc>
      </w:tr>
      <w:tr w:rsidR="00ED2B1A" w14:paraId="142B10CB" w14:textId="77777777" w:rsidTr="007C309B">
        <w:trPr>
          <w:trHeight w:val="898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197CB3C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Czy Projekt będzie Projektem grantowym?</w:t>
            </w:r>
          </w:p>
        </w:tc>
        <w:tc>
          <w:tcPr>
            <w:tcW w:w="183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600AD794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88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FD23C5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7C51F403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2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0B00D0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ED2B1A" w14:paraId="02B7D754" w14:textId="77777777" w:rsidTr="007C309B">
        <w:trPr>
          <w:trHeight w:val="1835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532FFE82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Przewidywany termin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złożenia wniosku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o dofinansowanie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(kwartał albo miesiąc oraz rok)</w:t>
            </w:r>
          </w:p>
        </w:tc>
        <w:tc>
          <w:tcPr>
            <w:tcW w:w="7551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4394FE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kwartał 2021</w:t>
            </w:r>
          </w:p>
        </w:tc>
      </w:tr>
      <w:tr w:rsidR="00ED2B1A" w14:paraId="4657B2F7" w14:textId="77777777" w:rsidTr="007C309B">
        <w:trPr>
          <w:trHeight w:val="469"/>
        </w:trPr>
        <w:tc>
          <w:tcPr>
            <w:tcW w:w="2030" w:type="dxa"/>
            <w:gridSpan w:val="4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FABF8F"/>
            <w:vAlign w:val="center"/>
          </w:tcPr>
          <w:p w14:paraId="61CC5927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Przewidywany okres realizacji Projektu </w:t>
            </w:r>
          </w:p>
        </w:tc>
        <w:tc>
          <w:tcPr>
            <w:tcW w:w="1834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FABF8F"/>
            <w:vAlign w:val="center"/>
          </w:tcPr>
          <w:p w14:paraId="77850A61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rozpoczęcia (miesiąc oraz rok)</w:t>
            </w:r>
          </w:p>
        </w:tc>
        <w:tc>
          <w:tcPr>
            <w:tcW w:w="1883" w:type="dxa"/>
            <w:gridSpan w:val="3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45EC1A95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marzec 2022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FABF8F"/>
            <w:vAlign w:val="center"/>
          </w:tcPr>
          <w:p w14:paraId="0DC49CF9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zakończenia (miesiąc oraz rok)</w:t>
            </w:r>
          </w:p>
        </w:tc>
        <w:tc>
          <w:tcPr>
            <w:tcW w:w="1920" w:type="dxa"/>
            <w:gridSpan w:val="3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C6C3F0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październik 2023</w:t>
            </w:r>
          </w:p>
        </w:tc>
      </w:tr>
      <w:tr w:rsidR="00ED2B1A" w14:paraId="2C160969" w14:textId="77777777" w:rsidTr="007C309B">
        <w:trPr>
          <w:trHeight w:val="567"/>
        </w:trPr>
        <w:tc>
          <w:tcPr>
            <w:tcW w:w="9581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ABF8F"/>
            <w:vAlign w:val="center"/>
          </w:tcPr>
          <w:p w14:paraId="2D799356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SZACOWANY BUDŻET PROJEKTU</w:t>
            </w:r>
          </w:p>
        </w:tc>
      </w:tr>
      <w:tr w:rsidR="00ED2B1A" w14:paraId="469A2149" w14:textId="77777777" w:rsidTr="007C309B">
        <w:trPr>
          <w:trHeight w:val="567"/>
        </w:trPr>
        <w:tc>
          <w:tcPr>
            <w:tcW w:w="9581" w:type="dxa"/>
            <w:gridSpan w:val="14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6473B957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Szacowana kwota wydatków w projekcie w podziale na lata i ogółem (PLN)</w:t>
            </w:r>
          </w:p>
        </w:tc>
      </w:tr>
      <w:tr w:rsidR="00ED2B1A" w14:paraId="465911AF" w14:textId="77777777" w:rsidTr="007C309B">
        <w:trPr>
          <w:trHeight w:val="316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ABF8F"/>
          </w:tcPr>
          <w:p w14:paraId="21FBCFD4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roku 2019</w:t>
            </w:r>
          </w:p>
        </w:tc>
        <w:tc>
          <w:tcPr>
            <w:tcW w:w="1493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ABF8F"/>
          </w:tcPr>
          <w:p w14:paraId="5460B77B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roku 2020</w:t>
            </w: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ABF8F"/>
          </w:tcPr>
          <w:p w14:paraId="1D6BBDC1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roku 2021</w:t>
            </w:r>
          </w:p>
        </w:tc>
        <w:tc>
          <w:tcPr>
            <w:tcW w:w="1948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ABF8F"/>
          </w:tcPr>
          <w:p w14:paraId="495B674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roku 2022</w:t>
            </w:r>
          </w:p>
        </w:tc>
        <w:tc>
          <w:tcPr>
            <w:tcW w:w="134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ABF8F"/>
          </w:tcPr>
          <w:p w14:paraId="52972581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roku 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ABF8F"/>
          </w:tcPr>
          <w:p w14:paraId="0B869D9C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ogółem</w:t>
            </w:r>
          </w:p>
        </w:tc>
      </w:tr>
      <w:tr w:rsidR="00ED2B1A" w14:paraId="6F2C427D" w14:textId="77777777" w:rsidTr="007C309B">
        <w:trPr>
          <w:trHeight w:val="295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2084043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1963470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2A668E52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B6EAD57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12 011 852</w:t>
            </w:r>
          </w:p>
        </w:tc>
        <w:tc>
          <w:tcPr>
            <w:tcW w:w="1345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FFCBC5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942 430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DD35337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F6B25">
              <w:rPr>
                <w:rFonts w:ascii="Arial" w:eastAsia="Arial" w:hAnsi="Arial" w:cs="Arial"/>
                <w:b/>
                <w:sz w:val="20"/>
                <w:szCs w:val="20"/>
              </w:rPr>
              <w:t>12 954 28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  <w:tr w:rsidR="00ED2B1A" w14:paraId="5E1B2E79" w14:textId="77777777" w:rsidTr="007C309B">
        <w:trPr>
          <w:trHeight w:val="567"/>
        </w:trPr>
        <w:tc>
          <w:tcPr>
            <w:tcW w:w="958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0FFFA9A1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Szacowany wkład własny beneficjenta (PLN)</w:t>
            </w:r>
          </w:p>
        </w:tc>
      </w:tr>
      <w:tr w:rsidR="00ED2B1A" w14:paraId="515A7EC5" w14:textId="77777777" w:rsidTr="007C309B">
        <w:trPr>
          <w:trHeight w:val="567"/>
        </w:trPr>
        <w:tc>
          <w:tcPr>
            <w:tcW w:w="131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ABF8F"/>
            <w:vAlign w:val="center"/>
          </w:tcPr>
          <w:p w14:paraId="53D2BF82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5228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709B91D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ABF8F"/>
            <w:vAlign w:val="center"/>
          </w:tcPr>
          <w:p w14:paraId="2B0F740A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AE369B2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ED2B1A" w14:paraId="76AD816E" w14:textId="77777777" w:rsidTr="007C309B">
        <w:trPr>
          <w:trHeight w:val="567"/>
        </w:trPr>
        <w:tc>
          <w:tcPr>
            <w:tcW w:w="958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17BE32B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Szacowany wkład UE (PLN)</w:t>
            </w:r>
          </w:p>
        </w:tc>
      </w:tr>
      <w:tr w:rsidR="00ED2B1A" w14:paraId="59E4FACC" w14:textId="77777777" w:rsidTr="007C309B">
        <w:trPr>
          <w:trHeight w:val="567"/>
        </w:trPr>
        <w:tc>
          <w:tcPr>
            <w:tcW w:w="9581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B5411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12 214 592 (94,29% wartości ogółem)</w:t>
            </w:r>
          </w:p>
        </w:tc>
      </w:tr>
      <w:tr w:rsidR="00ED2B1A" w14:paraId="15F0C566" w14:textId="77777777" w:rsidTr="007C309B">
        <w:trPr>
          <w:trHeight w:val="366"/>
        </w:trPr>
        <w:tc>
          <w:tcPr>
            <w:tcW w:w="9581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ABF8F"/>
            <w:vAlign w:val="center"/>
          </w:tcPr>
          <w:p w14:paraId="4076503B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ZAKŁADANE EFEKTY PROJEKTU WYRAŻONE WSKAŹNIKAMI (W PODZIALE NA PŁEĆ I OGÓŁEM)</w:t>
            </w:r>
          </w:p>
        </w:tc>
      </w:tr>
      <w:tr w:rsidR="00ED2B1A" w14:paraId="10E7BAD3" w14:textId="77777777" w:rsidTr="007C309B">
        <w:trPr>
          <w:trHeight w:val="346"/>
        </w:trPr>
        <w:tc>
          <w:tcPr>
            <w:tcW w:w="9581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ABF8F"/>
            <w:vAlign w:val="center"/>
          </w:tcPr>
          <w:p w14:paraId="50D184FD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ED2B1A" w14:paraId="2CBAAAAA" w14:textId="77777777" w:rsidTr="007C309B">
        <w:trPr>
          <w:trHeight w:val="312"/>
        </w:trPr>
        <w:tc>
          <w:tcPr>
            <w:tcW w:w="5642" w:type="dxa"/>
            <w:gridSpan w:val="8"/>
            <w:vMerge w:val="restart"/>
            <w:tcBorders>
              <w:top w:val="single" w:sz="12" w:space="0" w:color="000000" w:themeColor="text1"/>
              <w:right w:val="single" w:sz="6" w:space="0" w:color="000000" w:themeColor="text1"/>
            </w:tcBorders>
            <w:shd w:val="clear" w:color="auto" w:fill="FABF8F"/>
            <w:vAlign w:val="center"/>
          </w:tcPr>
          <w:p w14:paraId="24F6ED1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3939" w:type="dxa"/>
            <w:gridSpan w:val="6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ABF8F"/>
            <w:vAlign w:val="center"/>
          </w:tcPr>
          <w:p w14:paraId="2FF38824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Wartość docelowa</w:t>
            </w:r>
          </w:p>
        </w:tc>
      </w:tr>
      <w:tr w:rsidR="00ED2B1A" w14:paraId="64293227" w14:textId="77777777" w:rsidTr="007C309B">
        <w:trPr>
          <w:trHeight w:val="435"/>
        </w:trPr>
        <w:tc>
          <w:tcPr>
            <w:tcW w:w="5642" w:type="dxa"/>
            <w:gridSpan w:val="8"/>
            <w:vMerge/>
            <w:vAlign w:val="center"/>
          </w:tcPr>
          <w:p w14:paraId="10321094" w14:textId="77777777" w:rsidR="00ED2B1A" w:rsidRDefault="00ED2B1A" w:rsidP="007C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BF8F"/>
            <w:vAlign w:val="center"/>
          </w:tcPr>
          <w:p w14:paraId="6BB2C8EB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podziale na: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vAlign w:val="center"/>
          </w:tcPr>
          <w:p w14:paraId="44D2C054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Ogółem w projekcie</w:t>
            </w:r>
          </w:p>
        </w:tc>
      </w:tr>
      <w:tr w:rsidR="00ED2B1A" w14:paraId="1970D302" w14:textId="77777777" w:rsidTr="007C309B">
        <w:trPr>
          <w:trHeight w:val="567"/>
        </w:trPr>
        <w:tc>
          <w:tcPr>
            <w:tcW w:w="5642" w:type="dxa"/>
            <w:gridSpan w:val="8"/>
            <w:vMerge/>
            <w:vAlign w:val="center"/>
          </w:tcPr>
          <w:p w14:paraId="1B75E1A1" w14:textId="77777777" w:rsidR="00ED2B1A" w:rsidRDefault="00ED2B1A" w:rsidP="007C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BF8F"/>
            <w:vAlign w:val="center"/>
          </w:tcPr>
          <w:p w14:paraId="145DA0B4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Kobiety</w:t>
            </w:r>
          </w:p>
        </w:tc>
        <w:tc>
          <w:tcPr>
            <w:tcW w:w="14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BF8F"/>
            <w:vAlign w:val="center"/>
          </w:tcPr>
          <w:p w14:paraId="66EACA3E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Mężczyzn</w:t>
            </w:r>
          </w:p>
        </w:tc>
        <w:tc>
          <w:tcPr>
            <w:tcW w:w="162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ABF8F"/>
            <w:vAlign w:val="center"/>
          </w:tcPr>
          <w:p w14:paraId="585D96D8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2B1A" w14:paraId="7A46D94E" w14:textId="77777777" w:rsidTr="007C309B">
        <w:trPr>
          <w:trHeight w:val="550"/>
        </w:trPr>
        <w:tc>
          <w:tcPr>
            <w:tcW w:w="5642" w:type="dxa"/>
            <w:gridSpan w:val="8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5BB4D8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Liczba przetestowanych innowacji społecznych w skali makro</w:t>
            </w:r>
          </w:p>
        </w:tc>
        <w:tc>
          <w:tcPr>
            <w:tcW w:w="89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357007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n.d.</w:t>
            </w:r>
          </w:p>
        </w:tc>
        <w:tc>
          <w:tcPr>
            <w:tcW w:w="14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1780CD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n.d.</w:t>
            </w:r>
          </w:p>
        </w:tc>
        <w:tc>
          <w:tcPr>
            <w:tcW w:w="1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2B52486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ED2B1A" w14:paraId="1E75B61F" w14:textId="77777777" w:rsidTr="007C309B">
        <w:trPr>
          <w:trHeight w:val="505"/>
        </w:trPr>
        <w:tc>
          <w:tcPr>
            <w:tcW w:w="5642" w:type="dxa"/>
            <w:gridSpan w:val="8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0B8120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Odsetek osób, które ukończyły staż</w:t>
            </w:r>
          </w:p>
        </w:tc>
        <w:tc>
          <w:tcPr>
            <w:tcW w:w="89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654F83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n.d.</w:t>
            </w:r>
          </w:p>
        </w:tc>
        <w:tc>
          <w:tcPr>
            <w:tcW w:w="14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A838D7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n.d.</w:t>
            </w:r>
          </w:p>
        </w:tc>
        <w:tc>
          <w:tcPr>
            <w:tcW w:w="1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09991A9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75%</w:t>
            </w:r>
          </w:p>
        </w:tc>
      </w:tr>
      <w:tr w:rsidR="00ED2B1A" w14:paraId="20ABDE30" w14:textId="77777777" w:rsidTr="007C309B">
        <w:trPr>
          <w:trHeight w:val="567"/>
        </w:trPr>
        <w:tc>
          <w:tcPr>
            <w:tcW w:w="9581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ABF8F"/>
            <w:vAlign w:val="center"/>
          </w:tcPr>
          <w:p w14:paraId="24D87FC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ED2B1A" w14:paraId="173B2CE3" w14:textId="77777777" w:rsidTr="007C309B">
        <w:trPr>
          <w:trHeight w:val="567"/>
        </w:trPr>
        <w:tc>
          <w:tcPr>
            <w:tcW w:w="5642" w:type="dxa"/>
            <w:gridSpan w:val="8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  <w:shd w:val="clear" w:color="auto" w:fill="FABF8F"/>
            <w:vAlign w:val="center"/>
          </w:tcPr>
          <w:p w14:paraId="7C77992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3939" w:type="dxa"/>
            <w:gridSpan w:val="6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ABF8F"/>
            <w:vAlign w:val="center"/>
          </w:tcPr>
          <w:p w14:paraId="133C9C0C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Wartość docelowa</w:t>
            </w:r>
          </w:p>
        </w:tc>
      </w:tr>
      <w:tr w:rsidR="00ED2B1A" w14:paraId="38D1F993" w14:textId="77777777" w:rsidTr="007C309B">
        <w:trPr>
          <w:trHeight w:val="567"/>
        </w:trPr>
        <w:tc>
          <w:tcPr>
            <w:tcW w:w="5642" w:type="dxa"/>
            <w:gridSpan w:val="8"/>
            <w:vMerge/>
            <w:vAlign w:val="center"/>
          </w:tcPr>
          <w:p w14:paraId="5435C09A" w14:textId="77777777" w:rsidR="00ED2B1A" w:rsidRDefault="00ED2B1A" w:rsidP="007C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315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ABF8F"/>
            <w:vAlign w:val="center"/>
          </w:tcPr>
          <w:p w14:paraId="2D2AC05E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podziale na: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624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vAlign w:val="center"/>
          </w:tcPr>
          <w:p w14:paraId="5C22A99E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Ogółem w projekcie </w:t>
            </w:r>
          </w:p>
        </w:tc>
      </w:tr>
      <w:tr w:rsidR="00ED2B1A" w14:paraId="06C0FAD4" w14:textId="77777777" w:rsidTr="007C309B">
        <w:trPr>
          <w:trHeight w:val="462"/>
        </w:trPr>
        <w:tc>
          <w:tcPr>
            <w:tcW w:w="5642" w:type="dxa"/>
            <w:gridSpan w:val="8"/>
            <w:vMerge/>
            <w:vAlign w:val="center"/>
          </w:tcPr>
          <w:p w14:paraId="6A605ACF" w14:textId="77777777" w:rsidR="00ED2B1A" w:rsidRDefault="00ED2B1A" w:rsidP="007C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/>
            <w:vAlign w:val="center"/>
          </w:tcPr>
          <w:p w14:paraId="0D88B24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Kobiety</w:t>
            </w:r>
          </w:p>
        </w:tc>
        <w:tc>
          <w:tcPr>
            <w:tcW w:w="1417" w:type="dxa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/>
            <w:vAlign w:val="center"/>
          </w:tcPr>
          <w:p w14:paraId="502D44E2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Mężczyzn</w:t>
            </w:r>
          </w:p>
        </w:tc>
        <w:tc>
          <w:tcPr>
            <w:tcW w:w="1624" w:type="dxa"/>
            <w:vMerge/>
            <w:vAlign w:val="center"/>
          </w:tcPr>
          <w:p w14:paraId="73B8772D" w14:textId="77777777" w:rsidR="00ED2B1A" w:rsidRDefault="00ED2B1A" w:rsidP="007C3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2B1A" w14:paraId="0EE6F9F4" w14:textId="77777777" w:rsidTr="007C309B">
        <w:trPr>
          <w:trHeight w:val="447"/>
        </w:trPr>
        <w:tc>
          <w:tcPr>
            <w:tcW w:w="5642" w:type="dxa"/>
            <w:gridSpan w:val="8"/>
            <w:tcBorders>
              <w:top w:val="single" w:sz="6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6345B2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Liczba innowacji przyjętych do dofinansowania w skali makro</w:t>
            </w:r>
          </w:p>
        </w:tc>
        <w:tc>
          <w:tcPr>
            <w:tcW w:w="898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759DB8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n.d.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3096CD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n.d.</w:t>
            </w:r>
          </w:p>
        </w:tc>
        <w:tc>
          <w:tcPr>
            <w:tcW w:w="1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9161315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ED2B1A" w14:paraId="5FCB65D9" w14:textId="77777777" w:rsidTr="007C309B">
        <w:trPr>
          <w:trHeight w:val="555"/>
        </w:trPr>
        <w:tc>
          <w:tcPr>
            <w:tcW w:w="5642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0FB9A4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Liczba zorganizowanych staży</w:t>
            </w:r>
          </w:p>
        </w:tc>
        <w:tc>
          <w:tcPr>
            <w:tcW w:w="898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51A4AA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n.d.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26F0A9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n.d.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7EB7A9B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1200</w:t>
            </w:r>
          </w:p>
        </w:tc>
      </w:tr>
      <w:tr w:rsidR="00ED2B1A" w14:paraId="72322725" w14:textId="77777777" w:rsidTr="007C309B">
        <w:trPr>
          <w:trHeight w:val="333"/>
        </w:trPr>
        <w:tc>
          <w:tcPr>
            <w:tcW w:w="9581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ABF8F"/>
            <w:vAlign w:val="center"/>
          </w:tcPr>
          <w:p w14:paraId="190F11FF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SZCZEGÓŁOWE KRYTERIA WYBORU PROJEKTU</w:t>
            </w:r>
          </w:p>
        </w:tc>
      </w:tr>
      <w:tr w:rsidR="00ED2B1A" w14:paraId="78B8A03E" w14:textId="77777777" w:rsidTr="007C309B">
        <w:trPr>
          <w:trHeight w:val="300"/>
        </w:trPr>
        <w:tc>
          <w:tcPr>
            <w:tcW w:w="9581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ABF8F"/>
            <w:vAlign w:val="center"/>
          </w:tcPr>
          <w:p w14:paraId="0914A989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KRYTERIA DOSTĘPU</w:t>
            </w:r>
          </w:p>
        </w:tc>
      </w:tr>
      <w:tr w:rsidR="00ED2B1A" w14:paraId="3719E17D" w14:textId="77777777" w:rsidTr="007C309B">
        <w:trPr>
          <w:trHeight w:val="249"/>
        </w:trPr>
        <w:tc>
          <w:tcPr>
            <w:tcW w:w="9581" w:type="dxa"/>
            <w:gridSpan w:val="14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E8628F" w14:textId="77777777" w:rsidR="00ED2B1A" w:rsidRDefault="00ED2B1A" w:rsidP="007C309B">
            <w:pPr>
              <w:numPr>
                <w:ilvl w:val="0"/>
                <w:numId w:val="28"/>
              </w:num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BRAK</w:t>
            </w:r>
          </w:p>
        </w:tc>
      </w:tr>
      <w:tr w:rsidR="00ED2B1A" w14:paraId="266133D0" w14:textId="77777777" w:rsidTr="007C309B">
        <w:trPr>
          <w:trHeight w:val="370"/>
        </w:trPr>
        <w:tc>
          <w:tcPr>
            <w:tcW w:w="1750" w:type="dxa"/>
            <w:gridSpan w:val="3"/>
            <w:tcBorders>
              <w:top w:val="single" w:sz="6" w:space="0" w:color="000000" w:themeColor="text1"/>
              <w:bottom w:val="single" w:sz="4" w:space="0" w:color="000000" w:themeColor="text1"/>
            </w:tcBorders>
            <w:shd w:val="clear" w:color="auto" w:fill="FABF8F"/>
            <w:vAlign w:val="center"/>
          </w:tcPr>
          <w:p w14:paraId="76EC5492" w14:textId="77777777" w:rsidR="00ED2B1A" w:rsidRDefault="00ED2B1A" w:rsidP="007C309B">
            <w:pPr>
              <w:spacing w:after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Uzasadnienie:</w:t>
            </w:r>
          </w:p>
        </w:tc>
        <w:tc>
          <w:tcPr>
            <w:tcW w:w="7831" w:type="dxa"/>
            <w:gridSpan w:val="11"/>
            <w:tcBorders>
              <w:top w:val="single" w:sz="6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754EE9" w14:textId="77777777" w:rsidR="00ED2B1A" w:rsidRDefault="00ED2B1A" w:rsidP="007C309B">
            <w:pPr>
              <w:spacing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A0D6D01" w14:textId="77777777" w:rsidR="00ED2B1A" w:rsidRDefault="00ED2B1A" w:rsidP="00ED2B1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5"/>
        <w:gridCol w:w="1967"/>
        <w:gridCol w:w="1409"/>
        <w:gridCol w:w="3957"/>
      </w:tblGrid>
      <w:tr w:rsidR="002706CD" w:rsidRPr="00F72358" w14:paraId="685309C4" w14:textId="77777777" w:rsidTr="00AD6F4A">
        <w:trPr>
          <w:trHeight w:val="362"/>
        </w:trPr>
        <w:tc>
          <w:tcPr>
            <w:tcW w:w="9498" w:type="dxa"/>
            <w:gridSpan w:val="4"/>
            <w:shd w:val="clear" w:color="auto" w:fill="D9D9D9"/>
            <w:vAlign w:val="center"/>
          </w:tcPr>
          <w:p w14:paraId="2CDE5441" w14:textId="77777777" w:rsidR="002706CD" w:rsidRPr="00F72358" w:rsidRDefault="002706CD" w:rsidP="00AD6F4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358">
              <w:rPr>
                <w:rFonts w:ascii="Arial" w:hAnsi="Arial" w:cs="Arial"/>
                <w:b/>
                <w:sz w:val="18"/>
                <w:szCs w:val="18"/>
              </w:rPr>
              <w:t>PODPIS OSOBY UPOWAŻNIONEJ DO PODEJMOWANIA DECYZJI W ZAKRESIE PLANU DZIAŁANIA</w:t>
            </w:r>
          </w:p>
        </w:tc>
      </w:tr>
      <w:tr w:rsidR="002706CD" w:rsidRPr="00F72358" w14:paraId="5907E179" w14:textId="77777777" w:rsidTr="00AD6F4A">
        <w:trPr>
          <w:trHeight w:val="1116"/>
        </w:trPr>
        <w:tc>
          <w:tcPr>
            <w:tcW w:w="216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4AAA155" w14:textId="77777777" w:rsidR="002706CD" w:rsidRPr="00F72358" w:rsidRDefault="002706CD" w:rsidP="00AD6F4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358">
              <w:rPr>
                <w:rFonts w:ascii="Arial" w:hAnsi="Arial" w:cs="Arial"/>
                <w:sz w:val="18"/>
                <w:szCs w:val="18"/>
              </w:rPr>
              <w:t>Miejscowość, data</w:t>
            </w:r>
          </w:p>
        </w:tc>
        <w:tc>
          <w:tcPr>
            <w:tcW w:w="1967" w:type="dxa"/>
            <w:tcBorders>
              <w:bottom w:val="single" w:sz="12" w:space="0" w:color="auto"/>
            </w:tcBorders>
            <w:vAlign w:val="center"/>
          </w:tcPr>
          <w:p w14:paraId="30FC20C2" w14:textId="07F98FD5" w:rsidR="002706CD" w:rsidRPr="00F72358" w:rsidRDefault="002706CD" w:rsidP="00AD6F4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01.12.2021</w:t>
            </w: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3817503" w14:textId="77777777" w:rsidR="002706CD" w:rsidRPr="00F72358" w:rsidRDefault="002706CD" w:rsidP="00AD6F4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358">
              <w:rPr>
                <w:rFonts w:ascii="Arial" w:hAnsi="Arial" w:cs="Arial"/>
                <w:sz w:val="18"/>
                <w:szCs w:val="18"/>
              </w:rPr>
              <w:t>Pieczęć i podpis osoby upoważnionej</w:t>
            </w:r>
          </w:p>
        </w:tc>
        <w:tc>
          <w:tcPr>
            <w:tcW w:w="3957" w:type="dxa"/>
            <w:tcBorders>
              <w:bottom w:val="single" w:sz="12" w:space="0" w:color="auto"/>
            </w:tcBorders>
            <w:vAlign w:val="center"/>
          </w:tcPr>
          <w:p w14:paraId="2872D952" w14:textId="578A7791" w:rsidR="002706CD" w:rsidRPr="004F0FFA" w:rsidRDefault="002706CD" w:rsidP="00AD6F4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Dominika Tadla, Zastępca Dyrektora Departamentu EFS, MFiPR</w:t>
            </w:r>
          </w:p>
        </w:tc>
      </w:tr>
      <w:tr w:rsidR="002706CD" w:rsidRPr="00F72358" w14:paraId="4B291017" w14:textId="77777777" w:rsidTr="00AD6F4A">
        <w:trPr>
          <w:trHeight w:val="362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61D220" w14:textId="77777777" w:rsidR="002706CD" w:rsidRPr="00DD57B7" w:rsidRDefault="002706CD" w:rsidP="00AD6F4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 ZATWIERDZENIA </w:t>
            </w:r>
            <w:r w:rsidRPr="00F72358">
              <w:rPr>
                <w:rFonts w:ascii="Arial" w:hAnsi="Arial" w:cs="Arial"/>
                <w:b/>
                <w:sz w:val="18"/>
                <w:szCs w:val="18"/>
              </w:rPr>
              <w:t>PLANU DZIAŁANIA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IDENTYFIKACJI PROJEKTÓW POZAKONKURSOWYCH, KTÓRYCH FISZKI PO RAZ PIERWSZY ZAWARTO W PLANIE DZIAŁANIA, W ROZUMIENIU </w:t>
            </w:r>
            <w:r w:rsidRPr="004D0FA8">
              <w:rPr>
                <w:rFonts w:ascii="Arial" w:hAnsi="Arial" w:cs="Arial"/>
                <w:b/>
                <w:sz w:val="18"/>
                <w:szCs w:val="18"/>
              </w:rPr>
              <w:t>ART. 48 UST. 3 USTAWY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 DNIA 11 LIPCA 2014 R. </w:t>
            </w:r>
            <w:r w:rsidRPr="00EE4DC5">
              <w:rPr>
                <w:rFonts w:ascii="Arial" w:hAnsi="Arial" w:cs="Arial"/>
                <w:b/>
                <w:i/>
                <w:sz w:val="18"/>
                <w:szCs w:val="18"/>
              </w:rPr>
              <w:t>O ZASADACH REALIZACJ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 PROGRAMÓW W ZAKRESIE POLITYKI </w:t>
            </w:r>
            <w:r w:rsidRPr="00EE4DC5">
              <w:rPr>
                <w:rFonts w:ascii="Arial" w:hAnsi="Arial" w:cs="Arial"/>
                <w:b/>
                <w:i/>
                <w:sz w:val="18"/>
                <w:szCs w:val="18"/>
              </w:rPr>
              <w:t>SPÓJNOŚCI W PERSPEKTYWIE FINANSOWEJ 2014-2020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(DZ.U. Z 2018 R. POZ. 1431, z późn. zm.)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9C6D012" w14:textId="77777777" w:rsidR="002706CD" w:rsidRPr="00EE4DC5" w:rsidRDefault="002706CD" w:rsidP="00AD6F4A">
            <w:pPr>
              <w:spacing w:before="60" w:after="60"/>
              <w:jc w:val="center"/>
              <w:rPr>
                <w:rFonts w:ascii="Arial" w:hAnsi="Arial" w:cs="Arial"/>
                <w:i/>
                <w:sz w:val="13"/>
                <w:szCs w:val="13"/>
              </w:rPr>
            </w:pPr>
            <w:r w:rsidRPr="00EE4DC5">
              <w:rPr>
                <w:rFonts w:ascii="Arial" w:hAnsi="Arial" w:cs="Arial"/>
                <w:i/>
                <w:sz w:val="13"/>
                <w:szCs w:val="13"/>
              </w:rPr>
              <w:t xml:space="preserve">(wypełnia Instytucja Zarządzająca POWER, wprowadzając Roczny Plan Działania jako załącznik do Szczegółowego Opisu Osi Priorytetowych POWER) </w:t>
            </w:r>
          </w:p>
        </w:tc>
      </w:tr>
      <w:tr w:rsidR="002706CD" w:rsidRPr="00F72358" w14:paraId="1F529BF8" w14:textId="77777777" w:rsidTr="00AD6F4A">
        <w:trPr>
          <w:trHeight w:val="1116"/>
        </w:trPr>
        <w:tc>
          <w:tcPr>
            <w:tcW w:w="9498" w:type="dxa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15B1C20" w14:textId="47E27D95" w:rsidR="002706CD" w:rsidRPr="00F72358" w:rsidRDefault="002706CD" w:rsidP="00AD6F4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</w:tr>
    </w:tbl>
    <w:p w14:paraId="701BB346" w14:textId="77777777" w:rsidR="00ED2B1A" w:rsidRDefault="00ED2B1A" w:rsidP="00ED2B1A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sectPr w:rsidR="00ED2B1A" w:rsidSect="00FF48D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5EEC" w14:textId="77777777" w:rsidR="00B1314F" w:rsidRDefault="00B1314F" w:rsidP="003D5936">
      <w:pPr>
        <w:spacing w:after="0" w:line="240" w:lineRule="auto"/>
      </w:pPr>
      <w:r>
        <w:separator/>
      </w:r>
    </w:p>
  </w:endnote>
  <w:endnote w:type="continuationSeparator" w:id="0">
    <w:p w14:paraId="5532068B" w14:textId="77777777" w:rsidR="00B1314F" w:rsidRDefault="00B1314F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9639" w14:textId="77777777" w:rsidR="000012CE" w:rsidRPr="0058301A" w:rsidRDefault="0058301A" w:rsidP="0058301A">
    <w:pPr>
      <w:pStyle w:val="Stopka"/>
      <w:spacing w:before="120" w:after="120" w:line="240" w:lineRule="atLeast"/>
      <w:jc w:val="right"/>
      <w:rPr>
        <w:rFonts w:ascii="Arial" w:hAnsi="Arial" w:cs="Arial"/>
      </w:rPr>
    </w:pPr>
    <w:r w:rsidRPr="00D67239">
      <w:rPr>
        <w:rFonts w:ascii="Arial" w:hAnsi="Arial" w:cs="Arial"/>
      </w:rPr>
      <w:t xml:space="preserve">Strona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PAGE</w:instrText>
    </w:r>
    <w:r w:rsidRPr="00D67239">
      <w:rPr>
        <w:rFonts w:ascii="Arial" w:hAnsi="Arial" w:cs="Arial"/>
        <w:b/>
        <w:bCs/>
      </w:rPr>
      <w:fldChar w:fldCharType="separate"/>
    </w:r>
    <w:r w:rsidR="002D03BC">
      <w:rPr>
        <w:rFonts w:ascii="Arial" w:hAnsi="Arial" w:cs="Arial"/>
        <w:b/>
        <w:bCs/>
        <w:noProof/>
      </w:rPr>
      <w:t>2</w:t>
    </w:r>
    <w:r w:rsidRPr="00D67239">
      <w:rPr>
        <w:rFonts w:ascii="Arial" w:hAnsi="Arial" w:cs="Arial"/>
        <w:b/>
        <w:bCs/>
      </w:rPr>
      <w:fldChar w:fldCharType="end"/>
    </w:r>
    <w:r w:rsidRPr="00D67239">
      <w:rPr>
        <w:rFonts w:ascii="Arial" w:hAnsi="Arial" w:cs="Arial"/>
      </w:rPr>
      <w:t xml:space="preserve"> z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NUMPAGES</w:instrText>
    </w:r>
    <w:r w:rsidRPr="00D67239">
      <w:rPr>
        <w:rFonts w:ascii="Arial" w:hAnsi="Arial" w:cs="Arial"/>
        <w:b/>
        <w:bCs/>
      </w:rPr>
      <w:fldChar w:fldCharType="separate"/>
    </w:r>
    <w:r w:rsidR="002D03BC">
      <w:rPr>
        <w:rFonts w:ascii="Arial" w:hAnsi="Arial" w:cs="Arial"/>
        <w:b/>
        <w:bCs/>
        <w:noProof/>
      </w:rPr>
      <w:t>14</w:t>
    </w:r>
    <w:r w:rsidRPr="00D67239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359C" w14:textId="77777777" w:rsidR="00257888" w:rsidRPr="00D67239" w:rsidRDefault="00257888" w:rsidP="00D67239">
    <w:pPr>
      <w:pStyle w:val="Stopka"/>
      <w:spacing w:before="120" w:after="120" w:line="240" w:lineRule="atLeast"/>
      <w:jc w:val="right"/>
      <w:rPr>
        <w:rFonts w:ascii="Arial" w:hAnsi="Arial" w:cs="Arial"/>
      </w:rPr>
    </w:pPr>
    <w:r w:rsidRPr="00D67239">
      <w:rPr>
        <w:rFonts w:ascii="Arial" w:hAnsi="Arial" w:cs="Arial"/>
      </w:rPr>
      <w:t xml:space="preserve">Strona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PAGE</w:instrText>
    </w:r>
    <w:r w:rsidRPr="00D67239">
      <w:rPr>
        <w:rFonts w:ascii="Arial" w:hAnsi="Arial" w:cs="Arial"/>
        <w:b/>
        <w:bCs/>
      </w:rPr>
      <w:fldChar w:fldCharType="separate"/>
    </w:r>
    <w:r w:rsidR="002D03BC">
      <w:rPr>
        <w:rFonts w:ascii="Arial" w:hAnsi="Arial" w:cs="Arial"/>
        <w:b/>
        <w:bCs/>
        <w:noProof/>
      </w:rPr>
      <w:t>1</w:t>
    </w:r>
    <w:r w:rsidRPr="00D67239">
      <w:rPr>
        <w:rFonts w:ascii="Arial" w:hAnsi="Arial" w:cs="Arial"/>
        <w:b/>
        <w:bCs/>
      </w:rPr>
      <w:fldChar w:fldCharType="end"/>
    </w:r>
    <w:r w:rsidRPr="00D67239">
      <w:rPr>
        <w:rFonts w:ascii="Arial" w:hAnsi="Arial" w:cs="Arial"/>
      </w:rPr>
      <w:t xml:space="preserve"> z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NUMPAGES</w:instrText>
    </w:r>
    <w:r w:rsidRPr="00D67239">
      <w:rPr>
        <w:rFonts w:ascii="Arial" w:hAnsi="Arial" w:cs="Arial"/>
        <w:b/>
        <w:bCs/>
      </w:rPr>
      <w:fldChar w:fldCharType="separate"/>
    </w:r>
    <w:r w:rsidR="002D03BC">
      <w:rPr>
        <w:rFonts w:ascii="Arial" w:hAnsi="Arial" w:cs="Arial"/>
        <w:b/>
        <w:bCs/>
        <w:noProof/>
      </w:rPr>
      <w:t>14</w:t>
    </w:r>
    <w:r w:rsidRPr="00D67239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84A1" w14:textId="77777777" w:rsidR="00B1314F" w:rsidRDefault="00B1314F" w:rsidP="003D5936">
      <w:pPr>
        <w:spacing w:after="0" w:line="240" w:lineRule="auto"/>
      </w:pPr>
      <w:r>
        <w:separator/>
      </w:r>
    </w:p>
  </w:footnote>
  <w:footnote w:type="continuationSeparator" w:id="0">
    <w:p w14:paraId="364A2A04" w14:textId="77777777" w:rsidR="00B1314F" w:rsidRDefault="00B1314F" w:rsidP="003D5936">
      <w:pPr>
        <w:spacing w:after="0" w:line="240" w:lineRule="auto"/>
      </w:pPr>
      <w:r>
        <w:continuationSeparator/>
      </w:r>
    </w:p>
  </w:footnote>
  <w:footnote w:id="1">
    <w:p w14:paraId="31F220F5" w14:textId="77777777" w:rsidR="00ED2B1A" w:rsidRDefault="00ED2B1A" w:rsidP="00ED2B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W przypadku opracowywania Rocznego Planu Działania przez IP, podmiotem zgłaszającym Projekt jest IP. W przypadku opracowywania Rocznego Planu Działania przez IZ należy wpisać nazwę podmiotu, który zgłosił Projekt do IZ. </w:t>
      </w:r>
    </w:p>
  </w:footnote>
  <w:footnote w:id="2">
    <w:p w14:paraId="30E73125" w14:textId="77777777" w:rsidR="00ED2B1A" w:rsidRDefault="00ED2B1A" w:rsidP="00ED2B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W szczególności w świetle art. 38 ust. 2 i 3 ustawy z dnia 11 lipca 2014 r. </w:t>
      </w:r>
      <w:r>
        <w:rPr>
          <w:rFonts w:ascii="Arial" w:eastAsia="Arial" w:hAnsi="Arial" w:cs="Arial"/>
          <w:i/>
          <w:color w:val="000000"/>
          <w:sz w:val="16"/>
          <w:szCs w:val="16"/>
        </w:rPr>
        <w:t>o zasadach realizacji programów w zakresie polityki spójności finansowanych w perspektywie finansowej 2014–2020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(Dz.U. z 2018 r. poz. 1431, z późn. zm.) oraz podrozdziału 5.2.1 </w:t>
      </w:r>
      <w:r>
        <w:rPr>
          <w:rFonts w:ascii="Arial" w:eastAsia="Arial" w:hAnsi="Arial" w:cs="Arial"/>
          <w:i/>
          <w:color w:val="000000"/>
          <w:sz w:val="16"/>
          <w:szCs w:val="16"/>
        </w:rPr>
        <w:t>Polityka spójności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, rozdziału 5.2 </w:t>
      </w:r>
      <w:r>
        <w:rPr>
          <w:rFonts w:ascii="Arial" w:eastAsia="Arial" w:hAnsi="Arial" w:cs="Arial"/>
          <w:i/>
          <w:color w:val="000000"/>
          <w:sz w:val="16"/>
          <w:szCs w:val="16"/>
        </w:rPr>
        <w:t>Zasady wyboru Projektów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Umowy Partnerstwa.</w:t>
      </w:r>
    </w:p>
  </w:footnote>
  <w:footnote w:id="3">
    <w:p w14:paraId="30551FA0" w14:textId="77777777" w:rsidR="00ED2B1A" w:rsidRDefault="00ED2B1A" w:rsidP="00ED2B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Wypełnić w przypadku Projektu realizowanego w partnerstwie. W przypadku, gdy nie są znane konkretne podmioty, które będą partnerami w projekcie, należy wpisać pożądane cechy partnerów oraz uzasadnić wskazanie określonych cech.</w:t>
      </w:r>
    </w:p>
  </w:footnote>
  <w:footnote w:id="4">
    <w:p w14:paraId="4CAB0608" w14:textId="77777777" w:rsidR="00ED2B1A" w:rsidRDefault="00ED2B1A" w:rsidP="00ED2B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Rozbicie wartości docelowych na płeć jest nieobowiązkowe – wypełniane w zależności od specyfiki wsparcia i samego Projektu oraz zidentyfikowanego problemu, który Projekt ma rozwiązać lub złagodzić.</w:t>
      </w:r>
    </w:p>
  </w:footnote>
  <w:footnote w:id="5">
    <w:p w14:paraId="581330A1" w14:textId="77777777" w:rsidR="00ED2B1A" w:rsidRDefault="00ED2B1A" w:rsidP="00ED2B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Rozbicie wartości docelowych na płeć jest nieobowiązkowe – wypełniane w zależności od specyfiki wsparcia i samego Projektu oraz zidentyfikowanego problemu, który Projekt ma rozwiązać lub złagodzić.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8E4B" w14:textId="77777777" w:rsidR="0058301A" w:rsidRPr="0058301A" w:rsidRDefault="0058301A" w:rsidP="0058301A">
    <w:pPr>
      <w:pStyle w:val="Nagwek"/>
      <w:spacing w:before="120" w:after="120" w:line="240" w:lineRule="atLeas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1B4B" w14:textId="77777777" w:rsidR="00FF48DE" w:rsidRPr="00D67239" w:rsidRDefault="001401A5" w:rsidP="00D67239">
    <w:pPr>
      <w:pStyle w:val="Nagwek"/>
      <w:spacing w:before="120" w:after="120" w:line="240" w:lineRule="atLeas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3911A8E6" wp14:editId="75895E43">
          <wp:extent cx="5753100" cy="571500"/>
          <wp:effectExtent l="0" t="0" r="0" b="0"/>
          <wp:docPr id="12" name="Obraz 12" descr="Zestawienie logotypów: Fundusze Europejskiekie Wiedza Edukacja Rozwój, Rzeczpospolita Polska, Ministerstwo Funduszy i Polityki Regionalnej, Unia Europejska Europejski Fundusz Społeczny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Y:\PO WER\Promocja\Logotypy\FE_RP_MFiPR_UE_poziom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E6B"/>
    <w:multiLevelType w:val="hybridMultilevel"/>
    <w:tmpl w:val="A22606C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7C91"/>
    <w:multiLevelType w:val="multilevel"/>
    <w:tmpl w:val="16C62252"/>
    <w:lvl w:ilvl="0">
      <w:start w:val="1"/>
      <w:numFmt w:val="decimal"/>
      <w:lvlText w:val="%1."/>
      <w:lvlJc w:val="left"/>
      <w:pPr>
        <w:ind w:left="41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0514"/>
    <w:multiLevelType w:val="hybridMultilevel"/>
    <w:tmpl w:val="34727E98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13031"/>
    <w:multiLevelType w:val="hybridMultilevel"/>
    <w:tmpl w:val="98406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C447F"/>
    <w:multiLevelType w:val="hybridMultilevel"/>
    <w:tmpl w:val="3EA6D622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 w15:restartNumberingAfterBreak="0">
    <w:nsid w:val="2B232579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73D3E"/>
    <w:multiLevelType w:val="multilevel"/>
    <w:tmpl w:val="4970BB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40EED"/>
    <w:multiLevelType w:val="multilevel"/>
    <w:tmpl w:val="24008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AA03236"/>
    <w:multiLevelType w:val="hybridMultilevel"/>
    <w:tmpl w:val="A2F40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54342"/>
    <w:multiLevelType w:val="hybridMultilevel"/>
    <w:tmpl w:val="14C678E8"/>
    <w:lvl w:ilvl="0" w:tplc="C2E2FAA2">
      <w:start w:val="1"/>
      <w:numFmt w:val="decimal"/>
      <w:lvlText w:val="%1."/>
      <w:lvlJc w:val="left"/>
      <w:pPr>
        <w:ind w:left="720" w:hanging="360"/>
      </w:pPr>
    </w:lvl>
    <w:lvl w:ilvl="1" w:tplc="A104808C">
      <w:start w:val="1"/>
      <w:numFmt w:val="lowerLetter"/>
      <w:lvlText w:val="%2."/>
      <w:lvlJc w:val="left"/>
      <w:pPr>
        <w:ind w:left="1440" w:hanging="360"/>
      </w:pPr>
    </w:lvl>
    <w:lvl w:ilvl="2" w:tplc="0E180CA2">
      <w:start w:val="1"/>
      <w:numFmt w:val="lowerRoman"/>
      <w:lvlText w:val="%3."/>
      <w:lvlJc w:val="right"/>
      <w:pPr>
        <w:ind w:left="2160" w:hanging="180"/>
      </w:pPr>
    </w:lvl>
    <w:lvl w:ilvl="3" w:tplc="EC4842F6">
      <w:start w:val="1"/>
      <w:numFmt w:val="decimal"/>
      <w:lvlText w:val="%4."/>
      <w:lvlJc w:val="left"/>
      <w:pPr>
        <w:ind w:left="2880" w:hanging="360"/>
      </w:pPr>
    </w:lvl>
    <w:lvl w:ilvl="4" w:tplc="27F410E6">
      <w:start w:val="1"/>
      <w:numFmt w:val="lowerLetter"/>
      <w:lvlText w:val="%5."/>
      <w:lvlJc w:val="left"/>
      <w:pPr>
        <w:ind w:left="3600" w:hanging="360"/>
      </w:pPr>
    </w:lvl>
    <w:lvl w:ilvl="5" w:tplc="93BC13F4">
      <w:start w:val="1"/>
      <w:numFmt w:val="lowerRoman"/>
      <w:lvlText w:val="%6."/>
      <w:lvlJc w:val="right"/>
      <w:pPr>
        <w:ind w:left="4320" w:hanging="180"/>
      </w:pPr>
    </w:lvl>
    <w:lvl w:ilvl="6" w:tplc="D5DAAEA2">
      <w:start w:val="1"/>
      <w:numFmt w:val="decimal"/>
      <w:lvlText w:val="%7."/>
      <w:lvlJc w:val="left"/>
      <w:pPr>
        <w:ind w:left="5040" w:hanging="360"/>
      </w:pPr>
    </w:lvl>
    <w:lvl w:ilvl="7" w:tplc="F934D842">
      <w:start w:val="1"/>
      <w:numFmt w:val="lowerLetter"/>
      <w:lvlText w:val="%8."/>
      <w:lvlJc w:val="left"/>
      <w:pPr>
        <w:ind w:left="5760" w:hanging="360"/>
      </w:pPr>
    </w:lvl>
    <w:lvl w:ilvl="8" w:tplc="1884C12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F130EB"/>
    <w:multiLevelType w:val="hybridMultilevel"/>
    <w:tmpl w:val="946EC794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5DFA7B7C"/>
    <w:multiLevelType w:val="hybridMultilevel"/>
    <w:tmpl w:val="6F5C9162"/>
    <w:lvl w:ilvl="0" w:tplc="2FC28D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E9564B"/>
    <w:multiLevelType w:val="hybridMultilevel"/>
    <w:tmpl w:val="4754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101AF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E43812"/>
    <w:multiLevelType w:val="hybridMultilevel"/>
    <w:tmpl w:val="81D65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40E8F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078CF"/>
    <w:multiLevelType w:val="hybridMultilevel"/>
    <w:tmpl w:val="D418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4092F"/>
    <w:multiLevelType w:val="hybridMultilevel"/>
    <w:tmpl w:val="18442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50EA5"/>
    <w:multiLevelType w:val="hybridMultilevel"/>
    <w:tmpl w:val="D2F4748E"/>
    <w:lvl w:ilvl="0" w:tplc="C9429E2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1110F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7"/>
  </w:num>
  <w:num w:numId="4">
    <w:abstractNumId w:val="13"/>
  </w:num>
  <w:num w:numId="5">
    <w:abstractNumId w:val="14"/>
  </w:num>
  <w:num w:numId="6">
    <w:abstractNumId w:val="6"/>
  </w:num>
  <w:num w:numId="7">
    <w:abstractNumId w:val="3"/>
  </w:num>
  <w:num w:numId="8">
    <w:abstractNumId w:val="24"/>
  </w:num>
  <w:num w:numId="9">
    <w:abstractNumId w:val="4"/>
  </w:num>
  <w:num w:numId="10">
    <w:abstractNumId w:val="11"/>
  </w:num>
  <w:num w:numId="11">
    <w:abstractNumId w:val="21"/>
  </w:num>
  <w:num w:numId="12">
    <w:abstractNumId w:val="19"/>
  </w:num>
  <w:num w:numId="13">
    <w:abstractNumId w:val="0"/>
  </w:num>
  <w:num w:numId="14">
    <w:abstractNumId w:val="29"/>
  </w:num>
  <w:num w:numId="15">
    <w:abstractNumId w:val="25"/>
  </w:num>
  <w:num w:numId="16">
    <w:abstractNumId w:val="9"/>
  </w:num>
  <w:num w:numId="17">
    <w:abstractNumId w:val="20"/>
  </w:num>
  <w:num w:numId="18">
    <w:abstractNumId w:val="7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22"/>
  </w:num>
  <w:num w:numId="23">
    <w:abstractNumId w:val="26"/>
  </w:num>
  <w:num w:numId="24">
    <w:abstractNumId w:val="5"/>
  </w:num>
  <w:num w:numId="25">
    <w:abstractNumId w:val="15"/>
  </w:num>
  <w:num w:numId="26">
    <w:abstractNumId w:val="27"/>
  </w:num>
  <w:num w:numId="27">
    <w:abstractNumId w:val="10"/>
  </w:num>
  <w:num w:numId="28">
    <w:abstractNumId w:val="2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58A"/>
    <w:rsid w:val="0000117E"/>
    <w:rsid w:val="000012CE"/>
    <w:rsid w:val="00003ACA"/>
    <w:rsid w:val="00007C80"/>
    <w:rsid w:val="00013990"/>
    <w:rsid w:val="00015DB0"/>
    <w:rsid w:val="00030B5B"/>
    <w:rsid w:val="00037B81"/>
    <w:rsid w:val="000412E4"/>
    <w:rsid w:val="0004478C"/>
    <w:rsid w:val="000448C2"/>
    <w:rsid w:val="00050A79"/>
    <w:rsid w:val="00055B68"/>
    <w:rsid w:val="000631D1"/>
    <w:rsid w:val="0006320D"/>
    <w:rsid w:val="000640EA"/>
    <w:rsid w:val="00072776"/>
    <w:rsid w:val="00080A68"/>
    <w:rsid w:val="00081A04"/>
    <w:rsid w:val="00086B53"/>
    <w:rsid w:val="00093F6A"/>
    <w:rsid w:val="000A29A9"/>
    <w:rsid w:val="000A2FA8"/>
    <w:rsid w:val="000A3D94"/>
    <w:rsid w:val="000A4A6D"/>
    <w:rsid w:val="000C560E"/>
    <w:rsid w:val="000D0F64"/>
    <w:rsid w:val="000E189A"/>
    <w:rsid w:val="000E288B"/>
    <w:rsid w:val="000E58A5"/>
    <w:rsid w:val="000F1E91"/>
    <w:rsid w:val="000F7ED2"/>
    <w:rsid w:val="001003E6"/>
    <w:rsid w:val="00100AEB"/>
    <w:rsid w:val="0010656E"/>
    <w:rsid w:val="001065EB"/>
    <w:rsid w:val="00110984"/>
    <w:rsid w:val="001112AB"/>
    <w:rsid w:val="00112B98"/>
    <w:rsid w:val="001179F1"/>
    <w:rsid w:val="001207BE"/>
    <w:rsid w:val="001208EA"/>
    <w:rsid w:val="00123D1E"/>
    <w:rsid w:val="001401A5"/>
    <w:rsid w:val="00142F9C"/>
    <w:rsid w:val="00153180"/>
    <w:rsid w:val="00161207"/>
    <w:rsid w:val="0016199A"/>
    <w:rsid w:val="0016495F"/>
    <w:rsid w:val="00170999"/>
    <w:rsid w:val="00177B42"/>
    <w:rsid w:val="001821BC"/>
    <w:rsid w:val="00184282"/>
    <w:rsid w:val="00186A00"/>
    <w:rsid w:val="00187651"/>
    <w:rsid w:val="00192141"/>
    <w:rsid w:val="0019293B"/>
    <w:rsid w:val="00193E3D"/>
    <w:rsid w:val="001975AB"/>
    <w:rsid w:val="001A671B"/>
    <w:rsid w:val="001B2286"/>
    <w:rsid w:val="001B3A78"/>
    <w:rsid w:val="001B415A"/>
    <w:rsid w:val="001C3FF6"/>
    <w:rsid w:val="001D2A36"/>
    <w:rsid w:val="001D4A4D"/>
    <w:rsid w:val="001D57BE"/>
    <w:rsid w:val="001F10B7"/>
    <w:rsid w:val="001F331F"/>
    <w:rsid w:val="001F5F00"/>
    <w:rsid w:val="001F63AD"/>
    <w:rsid w:val="00201488"/>
    <w:rsid w:val="00217DDF"/>
    <w:rsid w:val="002218D7"/>
    <w:rsid w:val="0022312F"/>
    <w:rsid w:val="002278FA"/>
    <w:rsid w:val="00227E1F"/>
    <w:rsid w:val="002407CF"/>
    <w:rsid w:val="00242778"/>
    <w:rsid w:val="002456EE"/>
    <w:rsid w:val="002474D4"/>
    <w:rsid w:val="00251DF9"/>
    <w:rsid w:val="00257050"/>
    <w:rsid w:val="00257888"/>
    <w:rsid w:val="002625E1"/>
    <w:rsid w:val="002706CD"/>
    <w:rsid w:val="002752D2"/>
    <w:rsid w:val="0028171D"/>
    <w:rsid w:val="00290347"/>
    <w:rsid w:val="002961EA"/>
    <w:rsid w:val="0029647F"/>
    <w:rsid w:val="002A33DD"/>
    <w:rsid w:val="002A4B8F"/>
    <w:rsid w:val="002A4D9A"/>
    <w:rsid w:val="002B32FA"/>
    <w:rsid w:val="002B3A81"/>
    <w:rsid w:val="002D03BC"/>
    <w:rsid w:val="002E13A4"/>
    <w:rsid w:val="002E56F7"/>
    <w:rsid w:val="002E7A2D"/>
    <w:rsid w:val="002F09CE"/>
    <w:rsid w:val="002F4A76"/>
    <w:rsid w:val="002F50C5"/>
    <w:rsid w:val="002F6168"/>
    <w:rsid w:val="00315A9A"/>
    <w:rsid w:val="00320B2D"/>
    <w:rsid w:val="00326D47"/>
    <w:rsid w:val="003312F7"/>
    <w:rsid w:val="0033332E"/>
    <w:rsid w:val="003346F7"/>
    <w:rsid w:val="003436FC"/>
    <w:rsid w:val="00347B70"/>
    <w:rsid w:val="003530E2"/>
    <w:rsid w:val="003561E4"/>
    <w:rsid w:val="00364992"/>
    <w:rsid w:val="003937F3"/>
    <w:rsid w:val="00393AB7"/>
    <w:rsid w:val="00395D40"/>
    <w:rsid w:val="00397601"/>
    <w:rsid w:val="003A79DF"/>
    <w:rsid w:val="003B1413"/>
    <w:rsid w:val="003B4D91"/>
    <w:rsid w:val="003C3EAA"/>
    <w:rsid w:val="003D15EC"/>
    <w:rsid w:val="003D24DF"/>
    <w:rsid w:val="003D5375"/>
    <w:rsid w:val="003D5936"/>
    <w:rsid w:val="003D5F7A"/>
    <w:rsid w:val="003D7726"/>
    <w:rsid w:val="003E105B"/>
    <w:rsid w:val="003E7D9C"/>
    <w:rsid w:val="003F05D9"/>
    <w:rsid w:val="00402001"/>
    <w:rsid w:val="00402A95"/>
    <w:rsid w:val="004039AD"/>
    <w:rsid w:val="00404712"/>
    <w:rsid w:val="00404FBC"/>
    <w:rsid w:val="004076A1"/>
    <w:rsid w:val="00413F87"/>
    <w:rsid w:val="0042175F"/>
    <w:rsid w:val="00431392"/>
    <w:rsid w:val="004317C0"/>
    <w:rsid w:val="00432F13"/>
    <w:rsid w:val="00440EB0"/>
    <w:rsid w:val="00442F50"/>
    <w:rsid w:val="00450110"/>
    <w:rsid w:val="00452F50"/>
    <w:rsid w:val="00455218"/>
    <w:rsid w:val="0045586C"/>
    <w:rsid w:val="00460AAF"/>
    <w:rsid w:val="004643B7"/>
    <w:rsid w:val="0046535D"/>
    <w:rsid w:val="00470544"/>
    <w:rsid w:val="00474538"/>
    <w:rsid w:val="00475B95"/>
    <w:rsid w:val="004814E8"/>
    <w:rsid w:val="004A3BA4"/>
    <w:rsid w:val="004A3CC7"/>
    <w:rsid w:val="004A4466"/>
    <w:rsid w:val="004A605F"/>
    <w:rsid w:val="004C1A56"/>
    <w:rsid w:val="004C2A1C"/>
    <w:rsid w:val="004C49C9"/>
    <w:rsid w:val="004C5CFA"/>
    <w:rsid w:val="004D3EAE"/>
    <w:rsid w:val="004D7ADD"/>
    <w:rsid w:val="004E31B2"/>
    <w:rsid w:val="004F24C1"/>
    <w:rsid w:val="004F361A"/>
    <w:rsid w:val="004F3787"/>
    <w:rsid w:val="004F78AA"/>
    <w:rsid w:val="00506DA0"/>
    <w:rsid w:val="00510D4D"/>
    <w:rsid w:val="0051421C"/>
    <w:rsid w:val="00515084"/>
    <w:rsid w:val="00522637"/>
    <w:rsid w:val="0052582C"/>
    <w:rsid w:val="005260FA"/>
    <w:rsid w:val="005334D9"/>
    <w:rsid w:val="005434BC"/>
    <w:rsid w:val="00547A7F"/>
    <w:rsid w:val="00547B09"/>
    <w:rsid w:val="00561319"/>
    <w:rsid w:val="00561DA3"/>
    <w:rsid w:val="00562453"/>
    <w:rsid w:val="0056414A"/>
    <w:rsid w:val="00566225"/>
    <w:rsid w:val="00570AD8"/>
    <w:rsid w:val="00574DBF"/>
    <w:rsid w:val="00574EEB"/>
    <w:rsid w:val="0058301A"/>
    <w:rsid w:val="005867B6"/>
    <w:rsid w:val="00593FCF"/>
    <w:rsid w:val="00594384"/>
    <w:rsid w:val="0059477F"/>
    <w:rsid w:val="00596732"/>
    <w:rsid w:val="005A2A4A"/>
    <w:rsid w:val="005A76C5"/>
    <w:rsid w:val="005B02C3"/>
    <w:rsid w:val="005B086C"/>
    <w:rsid w:val="005B3CC4"/>
    <w:rsid w:val="005C4A57"/>
    <w:rsid w:val="005D1A85"/>
    <w:rsid w:val="005D2FFC"/>
    <w:rsid w:val="005E5B1F"/>
    <w:rsid w:val="005F054A"/>
    <w:rsid w:val="005F285E"/>
    <w:rsid w:val="005F3244"/>
    <w:rsid w:val="005F62F5"/>
    <w:rsid w:val="00605D0C"/>
    <w:rsid w:val="0061198E"/>
    <w:rsid w:val="006206FF"/>
    <w:rsid w:val="00623F65"/>
    <w:rsid w:val="00624403"/>
    <w:rsid w:val="00630392"/>
    <w:rsid w:val="006510EF"/>
    <w:rsid w:val="00661ACC"/>
    <w:rsid w:val="00662A32"/>
    <w:rsid w:val="00664C7A"/>
    <w:rsid w:val="00666C6B"/>
    <w:rsid w:val="00666F61"/>
    <w:rsid w:val="00670E5B"/>
    <w:rsid w:val="006735FE"/>
    <w:rsid w:val="006960EF"/>
    <w:rsid w:val="00697BA2"/>
    <w:rsid w:val="006A057D"/>
    <w:rsid w:val="006A33B5"/>
    <w:rsid w:val="006A3C7B"/>
    <w:rsid w:val="006A6F96"/>
    <w:rsid w:val="006C2329"/>
    <w:rsid w:val="006C4F84"/>
    <w:rsid w:val="006D4570"/>
    <w:rsid w:val="006E53E8"/>
    <w:rsid w:val="006F5109"/>
    <w:rsid w:val="006F7CB9"/>
    <w:rsid w:val="007023D0"/>
    <w:rsid w:val="007220E8"/>
    <w:rsid w:val="00727027"/>
    <w:rsid w:val="0072710B"/>
    <w:rsid w:val="00730371"/>
    <w:rsid w:val="007308D4"/>
    <w:rsid w:val="00733B9D"/>
    <w:rsid w:val="00735EFE"/>
    <w:rsid w:val="00741959"/>
    <w:rsid w:val="00742EF5"/>
    <w:rsid w:val="007450D2"/>
    <w:rsid w:val="007529F8"/>
    <w:rsid w:val="0075471A"/>
    <w:rsid w:val="00761577"/>
    <w:rsid w:val="00764E23"/>
    <w:rsid w:val="0077091A"/>
    <w:rsid w:val="00770DB7"/>
    <w:rsid w:val="00773A80"/>
    <w:rsid w:val="00773EE9"/>
    <w:rsid w:val="0077421C"/>
    <w:rsid w:val="00780D7D"/>
    <w:rsid w:val="00781619"/>
    <w:rsid w:val="007820D8"/>
    <w:rsid w:val="00787BEF"/>
    <w:rsid w:val="007934EF"/>
    <w:rsid w:val="00797A53"/>
    <w:rsid w:val="007A57B5"/>
    <w:rsid w:val="007B1ADC"/>
    <w:rsid w:val="007B1CE4"/>
    <w:rsid w:val="007B4B03"/>
    <w:rsid w:val="007D0FE5"/>
    <w:rsid w:val="007D2C6E"/>
    <w:rsid w:val="007D50C2"/>
    <w:rsid w:val="007E0B2F"/>
    <w:rsid w:val="007E17E5"/>
    <w:rsid w:val="007E62D8"/>
    <w:rsid w:val="007E6FE2"/>
    <w:rsid w:val="007F2405"/>
    <w:rsid w:val="007F6B31"/>
    <w:rsid w:val="0080385A"/>
    <w:rsid w:val="008135E6"/>
    <w:rsid w:val="008233E2"/>
    <w:rsid w:val="00824D65"/>
    <w:rsid w:val="00830F13"/>
    <w:rsid w:val="008321BB"/>
    <w:rsid w:val="00835267"/>
    <w:rsid w:val="0083636D"/>
    <w:rsid w:val="008373BB"/>
    <w:rsid w:val="0084213C"/>
    <w:rsid w:val="008436BE"/>
    <w:rsid w:val="00852924"/>
    <w:rsid w:val="00870F95"/>
    <w:rsid w:val="00872E8B"/>
    <w:rsid w:val="00873219"/>
    <w:rsid w:val="00874C28"/>
    <w:rsid w:val="008772FF"/>
    <w:rsid w:val="008923EA"/>
    <w:rsid w:val="00894F39"/>
    <w:rsid w:val="008A5E1B"/>
    <w:rsid w:val="008B3487"/>
    <w:rsid w:val="008B760D"/>
    <w:rsid w:val="008C14EE"/>
    <w:rsid w:val="008C1C06"/>
    <w:rsid w:val="008D1307"/>
    <w:rsid w:val="008D37E7"/>
    <w:rsid w:val="008D7AF5"/>
    <w:rsid w:val="008E3F14"/>
    <w:rsid w:val="008E5C15"/>
    <w:rsid w:val="008E6900"/>
    <w:rsid w:val="00906F7E"/>
    <w:rsid w:val="00910C78"/>
    <w:rsid w:val="0091150A"/>
    <w:rsid w:val="00916DF6"/>
    <w:rsid w:val="00930ED1"/>
    <w:rsid w:val="0093259B"/>
    <w:rsid w:val="00934595"/>
    <w:rsid w:val="00941C0C"/>
    <w:rsid w:val="00944FA7"/>
    <w:rsid w:val="009472A5"/>
    <w:rsid w:val="0095152A"/>
    <w:rsid w:val="00956667"/>
    <w:rsid w:val="00956B94"/>
    <w:rsid w:val="00957067"/>
    <w:rsid w:val="00957DBF"/>
    <w:rsid w:val="00966CC9"/>
    <w:rsid w:val="00976CE2"/>
    <w:rsid w:val="00981EDE"/>
    <w:rsid w:val="009837F6"/>
    <w:rsid w:val="009A31C6"/>
    <w:rsid w:val="009A352C"/>
    <w:rsid w:val="009C44A3"/>
    <w:rsid w:val="009E69DB"/>
    <w:rsid w:val="009F2B89"/>
    <w:rsid w:val="00A07047"/>
    <w:rsid w:val="00A24AF0"/>
    <w:rsid w:val="00A367AE"/>
    <w:rsid w:val="00A540EA"/>
    <w:rsid w:val="00A55A09"/>
    <w:rsid w:val="00A560AB"/>
    <w:rsid w:val="00A63D57"/>
    <w:rsid w:val="00A65EA1"/>
    <w:rsid w:val="00A708B7"/>
    <w:rsid w:val="00A744E4"/>
    <w:rsid w:val="00A76FDE"/>
    <w:rsid w:val="00A9201E"/>
    <w:rsid w:val="00A93641"/>
    <w:rsid w:val="00AA08AC"/>
    <w:rsid w:val="00AC257C"/>
    <w:rsid w:val="00AC53D2"/>
    <w:rsid w:val="00AE69EE"/>
    <w:rsid w:val="00AE6A4E"/>
    <w:rsid w:val="00B00DDD"/>
    <w:rsid w:val="00B05BA4"/>
    <w:rsid w:val="00B10BFC"/>
    <w:rsid w:val="00B1314F"/>
    <w:rsid w:val="00B145EB"/>
    <w:rsid w:val="00B154AE"/>
    <w:rsid w:val="00B20493"/>
    <w:rsid w:val="00B217A6"/>
    <w:rsid w:val="00B23EFA"/>
    <w:rsid w:val="00B3144A"/>
    <w:rsid w:val="00B31DDB"/>
    <w:rsid w:val="00B36E5B"/>
    <w:rsid w:val="00B40FD3"/>
    <w:rsid w:val="00B42200"/>
    <w:rsid w:val="00B473F6"/>
    <w:rsid w:val="00B633C2"/>
    <w:rsid w:val="00B63A1C"/>
    <w:rsid w:val="00B75AF8"/>
    <w:rsid w:val="00B84741"/>
    <w:rsid w:val="00B94116"/>
    <w:rsid w:val="00B9443F"/>
    <w:rsid w:val="00BA26B8"/>
    <w:rsid w:val="00BA4ED2"/>
    <w:rsid w:val="00BB25FA"/>
    <w:rsid w:val="00BC02D4"/>
    <w:rsid w:val="00BC237E"/>
    <w:rsid w:val="00BC489F"/>
    <w:rsid w:val="00BC76C2"/>
    <w:rsid w:val="00BD3383"/>
    <w:rsid w:val="00BD3EFE"/>
    <w:rsid w:val="00BD5E68"/>
    <w:rsid w:val="00BD7E3E"/>
    <w:rsid w:val="00BE0FA6"/>
    <w:rsid w:val="00BF074E"/>
    <w:rsid w:val="00BF6C4E"/>
    <w:rsid w:val="00BF7392"/>
    <w:rsid w:val="00C10410"/>
    <w:rsid w:val="00C15FDA"/>
    <w:rsid w:val="00C17587"/>
    <w:rsid w:val="00C2216A"/>
    <w:rsid w:val="00C2429E"/>
    <w:rsid w:val="00C34CE3"/>
    <w:rsid w:val="00C3567A"/>
    <w:rsid w:val="00C36ADA"/>
    <w:rsid w:val="00C5021B"/>
    <w:rsid w:val="00C519FB"/>
    <w:rsid w:val="00C563D9"/>
    <w:rsid w:val="00C600BE"/>
    <w:rsid w:val="00C6508D"/>
    <w:rsid w:val="00C6665B"/>
    <w:rsid w:val="00C70EE0"/>
    <w:rsid w:val="00C728A1"/>
    <w:rsid w:val="00C749DD"/>
    <w:rsid w:val="00CA22A2"/>
    <w:rsid w:val="00CA4B43"/>
    <w:rsid w:val="00CA6619"/>
    <w:rsid w:val="00CB2F6E"/>
    <w:rsid w:val="00CB3CB7"/>
    <w:rsid w:val="00CD2A69"/>
    <w:rsid w:val="00CD631F"/>
    <w:rsid w:val="00CE693A"/>
    <w:rsid w:val="00CE7623"/>
    <w:rsid w:val="00CF0825"/>
    <w:rsid w:val="00CF3056"/>
    <w:rsid w:val="00D03F78"/>
    <w:rsid w:val="00D05C74"/>
    <w:rsid w:val="00D15A4C"/>
    <w:rsid w:val="00D22AB2"/>
    <w:rsid w:val="00D27252"/>
    <w:rsid w:val="00D36409"/>
    <w:rsid w:val="00D36DEA"/>
    <w:rsid w:val="00D43C01"/>
    <w:rsid w:val="00D46CB6"/>
    <w:rsid w:val="00D50FDD"/>
    <w:rsid w:val="00D56150"/>
    <w:rsid w:val="00D604F4"/>
    <w:rsid w:val="00D60774"/>
    <w:rsid w:val="00D63C89"/>
    <w:rsid w:val="00D67239"/>
    <w:rsid w:val="00D70610"/>
    <w:rsid w:val="00D87596"/>
    <w:rsid w:val="00D909B5"/>
    <w:rsid w:val="00D91C18"/>
    <w:rsid w:val="00D948F1"/>
    <w:rsid w:val="00D96155"/>
    <w:rsid w:val="00D97E08"/>
    <w:rsid w:val="00DA0A76"/>
    <w:rsid w:val="00DA1426"/>
    <w:rsid w:val="00DA2457"/>
    <w:rsid w:val="00DA43B3"/>
    <w:rsid w:val="00DB491F"/>
    <w:rsid w:val="00DC627B"/>
    <w:rsid w:val="00DD03AA"/>
    <w:rsid w:val="00DD4FB0"/>
    <w:rsid w:val="00DE0234"/>
    <w:rsid w:val="00DE031D"/>
    <w:rsid w:val="00DE2FFF"/>
    <w:rsid w:val="00DE419A"/>
    <w:rsid w:val="00DE5468"/>
    <w:rsid w:val="00DF06C6"/>
    <w:rsid w:val="00DF7E58"/>
    <w:rsid w:val="00E0011C"/>
    <w:rsid w:val="00E0101E"/>
    <w:rsid w:val="00E05ACB"/>
    <w:rsid w:val="00E05ED3"/>
    <w:rsid w:val="00E07552"/>
    <w:rsid w:val="00E14CDD"/>
    <w:rsid w:val="00E34748"/>
    <w:rsid w:val="00E35650"/>
    <w:rsid w:val="00E35F92"/>
    <w:rsid w:val="00E378F9"/>
    <w:rsid w:val="00E4077F"/>
    <w:rsid w:val="00E45529"/>
    <w:rsid w:val="00E5227F"/>
    <w:rsid w:val="00E54DF5"/>
    <w:rsid w:val="00E60E76"/>
    <w:rsid w:val="00E64182"/>
    <w:rsid w:val="00E64F12"/>
    <w:rsid w:val="00E70B63"/>
    <w:rsid w:val="00E72530"/>
    <w:rsid w:val="00E8044E"/>
    <w:rsid w:val="00E92463"/>
    <w:rsid w:val="00E931C2"/>
    <w:rsid w:val="00E94EB4"/>
    <w:rsid w:val="00E95C22"/>
    <w:rsid w:val="00E9669D"/>
    <w:rsid w:val="00EA5115"/>
    <w:rsid w:val="00EA61F6"/>
    <w:rsid w:val="00EB10B2"/>
    <w:rsid w:val="00EB7249"/>
    <w:rsid w:val="00EC5CFA"/>
    <w:rsid w:val="00EC665F"/>
    <w:rsid w:val="00ED18B9"/>
    <w:rsid w:val="00ED2B1A"/>
    <w:rsid w:val="00ED618B"/>
    <w:rsid w:val="00EE14E4"/>
    <w:rsid w:val="00EE75FF"/>
    <w:rsid w:val="00EE7862"/>
    <w:rsid w:val="00EF12B4"/>
    <w:rsid w:val="00F16A63"/>
    <w:rsid w:val="00F20081"/>
    <w:rsid w:val="00F2680A"/>
    <w:rsid w:val="00F33DAA"/>
    <w:rsid w:val="00F34AFA"/>
    <w:rsid w:val="00F424AC"/>
    <w:rsid w:val="00F44558"/>
    <w:rsid w:val="00F467E1"/>
    <w:rsid w:val="00F52C9A"/>
    <w:rsid w:val="00F61F77"/>
    <w:rsid w:val="00F65AE2"/>
    <w:rsid w:val="00F720A0"/>
    <w:rsid w:val="00F75263"/>
    <w:rsid w:val="00F7558A"/>
    <w:rsid w:val="00F8164D"/>
    <w:rsid w:val="00F81C42"/>
    <w:rsid w:val="00F83C28"/>
    <w:rsid w:val="00F86943"/>
    <w:rsid w:val="00F938A3"/>
    <w:rsid w:val="00F943F0"/>
    <w:rsid w:val="00F9607B"/>
    <w:rsid w:val="00F96C77"/>
    <w:rsid w:val="00FB0DE2"/>
    <w:rsid w:val="00FC152A"/>
    <w:rsid w:val="00FC52D6"/>
    <w:rsid w:val="00FC53E2"/>
    <w:rsid w:val="00FD2474"/>
    <w:rsid w:val="00FD29E0"/>
    <w:rsid w:val="00FD421D"/>
    <w:rsid w:val="00FD5F00"/>
    <w:rsid w:val="00FD7CA7"/>
    <w:rsid w:val="00FE001C"/>
    <w:rsid w:val="00FE7ADB"/>
    <w:rsid w:val="00FF48D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A14E1C"/>
  <w15:docId w15:val="{1176BD09-8DA4-4BC9-8BCD-8E40F83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6DE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Odwołanie przypisu,Footnote reference number,note TESI,SUPERS,EN Footnote Reference,Footnote number,Ref,de nota al pie,Odwo3anie przypisu,Times 10 Point,Exposant 3 Point,number,16 Poi"/>
    <w:uiPriority w:val="99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E4552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36D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ipercze">
    <w:name w:val="Hyperlink"/>
    <w:uiPriority w:val="99"/>
    <w:unhideWhenUsed/>
    <w:rsid w:val="00D36DEA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36DEA"/>
    <w:rPr>
      <w:rFonts w:ascii="Arial" w:eastAsia="Times New Roman" w:hAnsi="Arial"/>
      <w:sz w:val="22"/>
      <w:szCs w:val="24"/>
    </w:rPr>
  </w:style>
  <w:style w:type="character" w:customStyle="1" w:styleId="markedcontent">
    <w:name w:val="markedcontent"/>
    <w:basedOn w:val="Domylnaczcionkaakapitu"/>
    <w:rsid w:val="00AE6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kinsey.com/~/media/McKinsey/Business%20Functions/McKinsey%20Digital/Our%20Insights/Digital%20Challengers%20in%20the%20next%20normal%20in%20Central%20and%20Eastern%20Europe/Digital-Challengers-in-the-next-normal-Central-Eastern-Europe.pdf?shouldIndex=false" TargetMode="External"/><Relationship Id="rId13" Type="http://schemas.openxmlformats.org/officeDocument/2006/relationships/hyperlink" Target="https://ose.gov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sz.praca.gov.pl/documents/10828/12196259/Stan%20i%20struktura%20bezrobocia%20wed%C5%82ug%20miejsca%20zamieszkania%20w%202019%20roku.pdf/068b9c21-744f-475d-8ed4-839da16c3ee8?t=158746440500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deloitte.com/pl/pl/pages/human-capital/articles/Raport-Pierwsze-kroki-na-rynku-pracy-2021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wc.pl/pl/media/2021/2021-05-26-raport-pwc-mlodzi-na-rynku-pracy-2021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lska.googleblog.com/2021/03/jak-cyfrowe-narzedzia-pomagaja.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B549-491C-4365-A3CD-1E26D449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14</Pages>
  <Words>5247</Words>
  <Characters>31486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Galant</dc:creator>
  <cp:lastModifiedBy>Siemiątkowski Bartosz</cp:lastModifiedBy>
  <cp:revision>21</cp:revision>
  <cp:lastPrinted>2021-11-10T14:27:00Z</cp:lastPrinted>
  <dcterms:created xsi:type="dcterms:W3CDTF">2021-11-10T12:19:00Z</dcterms:created>
  <dcterms:modified xsi:type="dcterms:W3CDTF">2022-04-06T08:25:00Z</dcterms:modified>
</cp:coreProperties>
</file>